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EC" w:rsidRDefault="008C78A0" w:rsidP="003F3C97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B242EC">
        <w:rPr>
          <w:rFonts w:ascii="Times New Roman" w:hAnsi="Times New Roman"/>
          <w:b/>
          <w:sz w:val="24"/>
        </w:rPr>
        <w:t>. napirendi pont</w:t>
      </w:r>
    </w:p>
    <w:p w:rsidR="00B242EC" w:rsidRDefault="00B242EC" w:rsidP="003F3C97">
      <w:pPr>
        <w:jc w:val="right"/>
        <w:rPr>
          <w:rFonts w:ascii="Times New Roman" w:hAnsi="Times New Roman"/>
          <w:b/>
          <w:sz w:val="24"/>
        </w:rPr>
      </w:pPr>
    </w:p>
    <w:p w:rsidR="00B242EC" w:rsidRPr="00583CE4" w:rsidRDefault="00B242EC" w:rsidP="004E6178">
      <w:pPr>
        <w:jc w:val="center"/>
        <w:rPr>
          <w:rFonts w:ascii="Times New Roman" w:hAnsi="Times New Roman"/>
          <w:b/>
          <w:sz w:val="24"/>
        </w:rPr>
      </w:pPr>
      <w:r w:rsidRPr="00583CE4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iliscsév Község Önkormányzata 2015. évi költségvetésének</w:t>
      </w:r>
    </w:p>
    <w:p w:rsidR="00B242EC" w:rsidRPr="00583CE4" w:rsidRDefault="00B242EC" w:rsidP="004E6178">
      <w:pPr>
        <w:jc w:val="center"/>
        <w:rPr>
          <w:rFonts w:ascii="Times New Roman" w:hAnsi="Times New Roman"/>
          <w:b/>
          <w:bCs/>
          <w:sz w:val="24"/>
        </w:rPr>
      </w:pPr>
      <w:proofErr w:type="gramStart"/>
      <w:r w:rsidRPr="00583CE4">
        <w:rPr>
          <w:rFonts w:ascii="Times New Roman" w:hAnsi="Times New Roman"/>
          <w:b/>
          <w:bCs/>
          <w:sz w:val="24"/>
        </w:rPr>
        <w:t>szöveges</w:t>
      </w:r>
      <w:proofErr w:type="gramEnd"/>
      <w:r w:rsidRPr="00583CE4">
        <w:rPr>
          <w:rFonts w:ascii="Times New Roman" w:hAnsi="Times New Roman"/>
          <w:b/>
          <w:bCs/>
          <w:sz w:val="24"/>
        </w:rPr>
        <w:t xml:space="preserve"> indoklása</w:t>
      </w:r>
    </w:p>
    <w:p w:rsidR="00B242EC" w:rsidRPr="00583CE4" w:rsidRDefault="00B242EC" w:rsidP="004E6178">
      <w:pPr>
        <w:jc w:val="center"/>
        <w:rPr>
          <w:rFonts w:ascii="Times New Roman" w:hAnsi="Times New Roman"/>
          <w:b/>
          <w:bCs/>
          <w:sz w:val="24"/>
        </w:rPr>
      </w:pPr>
    </w:p>
    <w:p w:rsidR="00B242EC" w:rsidRPr="00670750" w:rsidRDefault="00B242EC" w:rsidP="004902EB">
      <w:pPr>
        <w:jc w:val="both"/>
        <w:rPr>
          <w:rFonts w:ascii="Times New Roman" w:hAnsi="Times New Roman"/>
          <w:b/>
          <w:sz w:val="24"/>
        </w:rPr>
      </w:pPr>
      <w:r w:rsidRPr="00670750">
        <w:rPr>
          <w:rFonts w:ascii="Times New Roman" w:hAnsi="Times New Roman"/>
          <w:b/>
          <w:sz w:val="24"/>
        </w:rPr>
        <w:t xml:space="preserve">Tisztelt </w:t>
      </w:r>
      <w:r w:rsidR="008C78A0">
        <w:rPr>
          <w:rFonts w:ascii="Times New Roman" w:hAnsi="Times New Roman"/>
          <w:b/>
          <w:sz w:val="24"/>
        </w:rPr>
        <w:t>Képviselő-testület</w:t>
      </w:r>
      <w:r>
        <w:rPr>
          <w:rFonts w:ascii="Times New Roman" w:hAnsi="Times New Roman"/>
          <w:b/>
          <w:sz w:val="24"/>
        </w:rPr>
        <w:t>!</w:t>
      </w:r>
    </w:p>
    <w:p w:rsidR="00B242EC" w:rsidRPr="00583CE4" w:rsidRDefault="00B242EC" w:rsidP="00AF2B2F">
      <w:pPr>
        <w:rPr>
          <w:rFonts w:ascii="Times New Roman" w:hAnsi="Times New Roman"/>
          <w:b/>
          <w:bCs/>
          <w:sz w:val="24"/>
        </w:rPr>
      </w:pPr>
    </w:p>
    <w:p w:rsidR="00B242EC" w:rsidRPr="009E4E4A" w:rsidRDefault="00B242EC" w:rsidP="000F1808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9C59F1">
        <w:rPr>
          <w:rFonts w:ascii="Times New Roman" w:hAnsi="Times New Roman"/>
          <w:sz w:val="20"/>
          <w:szCs w:val="20"/>
        </w:rPr>
        <w:t>Az államháztartásról szóló 2011. évi CXCV. törvény (Áht.) 23-24. §</w:t>
      </w:r>
      <w:proofErr w:type="spellStart"/>
      <w:r w:rsidRPr="009C59F1">
        <w:rPr>
          <w:rFonts w:ascii="Times New Roman" w:hAnsi="Times New Roman"/>
          <w:sz w:val="20"/>
          <w:szCs w:val="20"/>
        </w:rPr>
        <w:t>-ában</w:t>
      </w:r>
      <w:proofErr w:type="spellEnd"/>
      <w:r w:rsidRPr="009C59F1">
        <w:rPr>
          <w:rFonts w:ascii="Times New Roman" w:hAnsi="Times New Roman"/>
          <w:sz w:val="20"/>
          <w:szCs w:val="20"/>
        </w:rPr>
        <w:t xml:space="preserve">, az államháztartásról szóló törvény végrehajtásáról szóló 368/2011. (XII. 31.) Korm. rendeletben, valamint a Magyarország helyi önkormányzatairól szóló 2011. évi CLXXXIX. törvényben foglaltaknak megfelelően a mellékelt költségvetés - tervezetet terjesztem a Pénzügyi és Településfejlesztési Bizottság elé. </w:t>
      </w:r>
    </w:p>
    <w:p w:rsidR="00B242EC" w:rsidRPr="009C59F1" w:rsidRDefault="00B242EC" w:rsidP="000F1808">
      <w:pPr>
        <w:pStyle w:val="Szvegtrzs"/>
        <w:rPr>
          <w:rFonts w:ascii="Times New Roman" w:hAnsi="Times New Roman"/>
          <w:sz w:val="20"/>
          <w:szCs w:val="20"/>
        </w:rPr>
      </w:pPr>
      <w:r w:rsidRPr="009C59F1">
        <w:rPr>
          <w:rFonts w:ascii="Times New Roman" w:eastAsia="TimesNewRomanPSMT" w:hAnsi="Times New Roman"/>
          <w:sz w:val="20"/>
          <w:szCs w:val="20"/>
        </w:rPr>
        <w:t xml:space="preserve">Az előterjesztés a </w:t>
      </w:r>
      <w:bookmarkStart w:id="0" w:name="pr2"/>
      <w:r w:rsidRPr="009C59F1">
        <w:rPr>
          <w:rFonts w:ascii="Times New Roman" w:hAnsi="Times New Roman"/>
          <w:bCs/>
          <w:color w:val="000000"/>
          <w:sz w:val="20"/>
          <w:szCs w:val="20"/>
        </w:rPr>
        <w:t>Magyarország 2015. évi központi költségvetéséről</w:t>
      </w:r>
      <w:bookmarkEnd w:id="0"/>
      <w:r w:rsidRPr="009C59F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C59F1">
        <w:rPr>
          <w:rFonts w:ascii="Times New Roman" w:hAnsi="Times New Roman"/>
          <w:sz w:val="20"/>
          <w:szCs w:val="20"/>
        </w:rPr>
        <w:t xml:space="preserve">szóló </w:t>
      </w:r>
      <w:r w:rsidRPr="009C59F1">
        <w:rPr>
          <w:rFonts w:ascii="Times New Roman" w:hAnsi="Times New Roman"/>
          <w:bCs/>
          <w:sz w:val="20"/>
          <w:szCs w:val="20"/>
        </w:rPr>
        <w:t>2014. évi C</w:t>
      </w:r>
      <w:r w:rsidRPr="009C59F1">
        <w:rPr>
          <w:rFonts w:ascii="Times New Roman" w:hAnsi="Times New Roman"/>
          <w:bCs/>
          <w:color w:val="000000"/>
          <w:sz w:val="20"/>
          <w:szCs w:val="20"/>
        </w:rPr>
        <w:t>. törvény,</w:t>
      </w:r>
      <w:r w:rsidRPr="009C59F1">
        <w:rPr>
          <w:rFonts w:ascii="Times New Roman" w:hAnsi="Times New Roman"/>
          <w:sz w:val="20"/>
          <w:szCs w:val="20"/>
        </w:rPr>
        <w:t xml:space="preserve"> és egyéb törvények, törvénymódosítások rendelkezéseinek figyelembevételével történt.</w:t>
      </w:r>
    </w:p>
    <w:p w:rsidR="00B242EC" w:rsidRPr="009E4E4A" w:rsidRDefault="00B242EC" w:rsidP="004902EB">
      <w:pPr>
        <w:pStyle w:val="Szvegtrzs"/>
        <w:rPr>
          <w:rFonts w:ascii="Times New Roman" w:hAnsi="Times New Roman"/>
          <w:sz w:val="20"/>
          <w:szCs w:val="20"/>
          <w:highlight w:val="yellow"/>
        </w:rPr>
      </w:pPr>
    </w:p>
    <w:p w:rsidR="00B242EC" w:rsidRPr="00B82ABC" w:rsidRDefault="00B242EC">
      <w:pPr>
        <w:jc w:val="both"/>
        <w:rPr>
          <w:rFonts w:ascii="Times New Roman" w:hAnsi="Times New Roman"/>
          <w:b/>
          <w:szCs w:val="22"/>
        </w:rPr>
      </w:pPr>
      <w:r w:rsidRPr="00B82ABC">
        <w:rPr>
          <w:rFonts w:ascii="Times New Roman" w:hAnsi="Times New Roman"/>
          <w:b/>
          <w:szCs w:val="22"/>
        </w:rPr>
        <w:t>I. Az önkormányzat költségvetése</w:t>
      </w:r>
    </w:p>
    <w:p w:rsidR="00B242EC" w:rsidRPr="009E4E4A" w:rsidRDefault="00B242EC">
      <w:pPr>
        <w:jc w:val="both"/>
        <w:rPr>
          <w:rFonts w:ascii="Times New Roman" w:hAnsi="Times New Roman"/>
          <w:szCs w:val="22"/>
          <w:highlight w:val="yellow"/>
        </w:rPr>
      </w:pPr>
    </w:p>
    <w:p w:rsidR="00B242EC" w:rsidRPr="00B82ABC" w:rsidRDefault="00B242EC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B82ABC">
        <w:rPr>
          <w:rFonts w:ascii="Times New Roman" w:hAnsi="Times New Roman"/>
          <w:szCs w:val="22"/>
        </w:rPr>
        <w:t xml:space="preserve">1. Bevételek </w:t>
      </w:r>
    </w:p>
    <w:p w:rsidR="00B242EC" w:rsidRPr="009E4E4A" w:rsidRDefault="00B242EC">
      <w:pPr>
        <w:jc w:val="both"/>
        <w:rPr>
          <w:rFonts w:ascii="Times New Roman" w:hAnsi="Times New Roman"/>
          <w:b/>
          <w:bCs/>
          <w:sz w:val="24"/>
          <w:highlight w:val="yellow"/>
        </w:rPr>
      </w:pPr>
    </w:p>
    <w:p w:rsidR="00B242EC" w:rsidRPr="00B82ABC" w:rsidRDefault="00B242EC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B82ABC">
        <w:rPr>
          <w:rFonts w:ascii="Times New Roman" w:hAnsi="Times New Roman"/>
          <w:bCs/>
          <w:sz w:val="20"/>
          <w:szCs w:val="20"/>
        </w:rPr>
        <w:t>2015. évi összes tervezett bevételün</w:t>
      </w:r>
      <w:r>
        <w:rPr>
          <w:rFonts w:ascii="Times New Roman" w:hAnsi="Times New Roman"/>
          <w:bCs/>
          <w:sz w:val="20"/>
          <w:szCs w:val="20"/>
        </w:rPr>
        <w:t xml:space="preserve">k a pénzmaradvánnyal együtt </w:t>
      </w:r>
      <w:r w:rsidR="00A55F8C">
        <w:rPr>
          <w:rFonts w:ascii="Times New Roman" w:hAnsi="Times New Roman"/>
          <w:bCs/>
          <w:sz w:val="20"/>
          <w:szCs w:val="20"/>
        </w:rPr>
        <w:t>293.514</w:t>
      </w:r>
      <w:r w:rsidRPr="00B82AB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B82ABC">
        <w:rPr>
          <w:rFonts w:ascii="Times New Roman" w:hAnsi="Times New Roman"/>
          <w:bCs/>
          <w:sz w:val="20"/>
          <w:szCs w:val="20"/>
        </w:rPr>
        <w:t>eFt</w:t>
      </w:r>
      <w:proofErr w:type="spellEnd"/>
      <w:r w:rsidRPr="00B82ABC">
        <w:rPr>
          <w:rFonts w:ascii="Times New Roman" w:hAnsi="Times New Roman"/>
          <w:bCs/>
          <w:sz w:val="20"/>
          <w:szCs w:val="20"/>
        </w:rPr>
        <w:t xml:space="preserve">. </w:t>
      </w:r>
      <w:r w:rsidRPr="00B82ABC">
        <w:rPr>
          <w:rFonts w:ascii="Times New Roman" w:hAnsi="Times New Roman"/>
          <w:bCs/>
          <w:i/>
          <w:sz w:val="20"/>
          <w:szCs w:val="20"/>
        </w:rPr>
        <w:t xml:space="preserve">(I.1.  </w:t>
      </w:r>
      <w:proofErr w:type="gramStart"/>
      <w:r w:rsidRPr="00B82ABC">
        <w:rPr>
          <w:rFonts w:ascii="Times New Roman" w:hAnsi="Times New Roman"/>
          <w:bCs/>
          <w:i/>
          <w:sz w:val="20"/>
          <w:szCs w:val="20"/>
        </w:rPr>
        <w:t>melléklet</w:t>
      </w:r>
      <w:proofErr w:type="gramEnd"/>
      <w:r w:rsidRPr="00B82ABC">
        <w:rPr>
          <w:rFonts w:ascii="Times New Roman" w:hAnsi="Times New Roman"/>
          <w:bCs/>
          <w:i/>
          <w:sz w:val="20"/>
          <w:szCs w:val="20"/>
        </w:rPr>
        <w:t>)</w:t>
      </w:r>
    </w:p>
    <w:p w:rsidR="00B242EC" w:rsidRPr="009E4E4A" w:rsidRDefault="00B242EC">
      <w:pPr>
        <w:pStyle w:val="Cmsor1"/>
        <w:rPr>
          <w:rFonts w:ascii="Times New Roman" w:hAnsi="Times New Roman"/>
          <w:b w:val="0"/>
          <w:sz w:val="20"/>
          <w:szCs w:val="20"/>
          <w:highlight w:val="yellow"/>
        </w:rPr>
      </w:pPr>
    </w:p>
    <w:p w:rsidR="00B242EC" w:rsidRPr="00933618" w:rsidRDefault="00B242EC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933618">
        <w:rPr>
          <w:rFonts w:ascii="Times New Roman" w:hAnsi="Times New Roman"/>
          <w:b w:val="0"/>
          <w:i/>
          <w:sz w:val="20"/>
          <w:szCs w:val="20"/>
        </w:rPr>
        <w:t xml:space="preserve"> Intézményi működési bevételek </w:t>
      </w:r>
    </w:p>
    <w:p w:rsidR="00B242EC" w:rsidRPr="009E4E4A" w:rsidRDefault="00B242EC" w:rsidP="00E35FE8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C95129" w:rsidRDefault="00B242EC" w:rsidP="00F844B6">
      <w:pPr>
        <w:jc w:val="both"/>
        <w:rPr>
          <w:rFonts w:ascii="Times New Roman" w:hAnsi="Times New Roman"/>
          <w:sz w:val="20"/>
          <w:szCs w:val="20"/>
        </w:rPr>
      </w:pPr>
      <w:r w:rsidRPr="00473A06">
        <w:rPr>
          <w:rFonts w:ascii="Times New Roman" w:hAnsi="Times New Roman"/>
          <w:sz w:val="20"/>
          <w:szCs w:val="20"/>
        </w:rPr>
        <w:t xml:space="preserve">Az intézményi működési bevételeket részletesen az </w:t>
      </w:r>
      <w:r w:rsidRPr="004B25A5">
        <w:rPr>
          <w:rFonts w:ascii="Times New Roman" w:hAnsi="Times New Roman"/>
          <w:i/>
          <w:sz w:val="20"/>
          <w:szCs w:val="20"/>
        </w:rPr>
        <w:t>I.4.</w:t>
      </w:r>
      <w:r w:rsidRPr="00473A06">
        <w:rPr>
          <w:rFonts w:ascii="Times New Roman" w:hAnsi="Times New Roman"/>
          <w:i/>
          <w:sz w:val="20"/>
          <w:szCs w:val="20"/>
        </w:rPr>
        <w:t xml:space="preserve">  </w:t>
      </w:r>
      <w:proofErr w:type="gramStart"/>
      <w:r w:rsidRPr="00473A06">
        <w:rPr>
          <w:rFonts w:ascii="Times New Roman" w:hAnsi="Times New Roman"/>
          <w:i/>
          <w:sz w:val="20"/>
          <w:szCs w:val="20"/>
        </w:rPr>
        <w:t>melléklet</w:t>
      </w:r>
      <w:proofErr w:type="gramEnd"/>
      <w:r w:rsidRPr="00473A06">
        <w:rPr>
          <w:rFonts w:ascii="Times New Roman" w:hAnsi="Times New Roman"/>
          <w:sz w:val="20"/>
          <w:szCs w:val="20"/>
        </w:rPr>
        <w:t xml:space="preserve"> tartalmazza.  </w:t>
      </w:r>
      <w:r>
        <w:rPr>
          <w:rFonts w:ascii="Times New Roman" w:hAnsi="Times New Roman"/>
          <w:sz w:val="20"/>
          <w:szCs w:val="20"/>
        </w:rPr>
        <w:t>Az előző évi teljesítés adatait figyelembe véve terve</w:t>
      </w:r>
      <w:r w:rsidR="00DF2F8B">
        <w:rPr>
          <w:rFonts w:ascii="Times New Roman" w:hAnsi="Times New Roman"/>
          <w:sz w:val="20"/>
          <w:szCs w:val="20"/>
        </w:rPr>
        <w:t xml:space="preserve">ztük a szolgáltatásból származó, </w:t>
      </w:r>
      <w:r>
        <w:rPr>
          <w:rFonts w:ascii="Times New Roman" w:hAnsi="Times New Roman"/>
          <w:sz w:val="20"/>
          <w:szCs w:val="20"/>
        </w:rPr>
        <w:t>illetve az egyéb sajátos bevételeket (</w:t>
      </w:r>
      <w:r w:rsidR="00DF2F8B">
        <w:rPr>
          <w:rFonts w:ascii="Times New Roman" w:hAnsi="Times New Roman"/>
          <w:sz w:val="20"/>
          <w:szCs w:val="20"/>
        </w:rPr>
        <w:t xml:space="preserve">esküvő, </w:t>
      </w:r>
      <w:r>
        <w:rPr>
          <w:rFonts w:ascii="Times New Roman" w:hAnsi="Times New Roman"/>
          <w:sz w:val="20"/>
          <w:szCs w:val="20"/>
        </w:rPr>
        <w:t xml:space="preserve">közterület foglalás, haszonbérleti díj). A tavalyinál előre láthatólag kisebb mértékű lesz a kamatbevételünk, valamint a bérleti díjból származó bevétel is. A táblázat megfelelő sora az orvosi rendelő és a „faház” bérleti díját tartalmazza, összesen 1.020 </w:t>
      </w:r>
      <w:proofErr w:type="spellStart"/>
      <w:r>
        <w:rPr>
          <w:rFonts w:ascii="Times New Roman" w:hAnsi="Times New Roman"/>
          <w:sz w:val="20"/>
          <w:szCs w:val="20"/>
        </w:rPr>
        <w:t>eFt-ot</w:t>
      </w:r>
      <w:proofErr w:type="spellEnd"/>
      <w:r>
        <w:rPr>
          <w:rFonts w:ascii="Times New Roman" w:hAnsi="Times New Roman"/>
          <w:sz w:val="20"/>
          <w:szCs w:val="20"/>
        </w:rPr>
        <w:t xml:space="preserve">. Az előterjesztés összeállításáig nem kaptunk információt a Tisztítóművel kapcsolatos idei bevételekről és kiadásokról, ezért azokat nem tartalmazzák a táblázatok. Az ellátási díjból származó bevételek tervezésénél a térítési díjak változását és az étkező gyermekek számának változását is figyelembe vették az intézményvezetők. </w:t>
      </w:r>
      <w:r w:rsidRPr="00C95129">
        <w:rPr>
          <w:rFonts w:ascii="Times New Roman" w:hAnsi="Times New Roman"/>
          <w:sz w:val="20"/>
          <w:szCs w:val="20"/>
        </w:rPr>
        <w:t xml:space="preserve">Összességében az Önkormányzat intézményi működési bevételei várhatóan 8.778 </w:t>
      </w:r>
      <w:proofErr w:type="spellStart"/>
      <w:r w:rsidRPr="00C95129">
        <w:rPr>
          <w:rFonts w:ascii="Times New Roman" w:hAnsi="Times New Roman"/>
          <w:sz w:val="20"/>
          <w:szCs w:val="20"/>
        </w:rPr>
        <w:t>eFt-ot</w:t>
      </w:r>
      <w:proofErr w:type="spellEnd"/>
      <w:r w:rsidRPr="00C95129">
        <w:rPr>
          <w:rFonts w:ascii="Times New Roman" w:hAnsi="Times New Roman"/>
          <w:sz w:val="20"/>
          <w:szCs w:val="20"/>
        </w:rPr>
        <w:t xml:space="preserve"> tesznek ki.</w:t>
      </w:r>
    </w:p>
    <w:p w:rsidR="00B242EC" w:rsidRPr="009E4E4A" w:rsidRDefault="00B242EC" w:rsidP="00E35FE8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B507B9" w:rsidRDefault="00B242EC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B507B9">
        <w:rPr>
          <w:rFonts w:ascii="Times New Roman" w:hAnsi="Times New Roman"/>
          <w:b w:val="0"/>
          <w:i/>
          <w:sz w:val="20"/>
          <w:szCs w:val="20"/>
        </w:rPr>
        <w:t>Önkormányzat sajátos működési bevételei (I.2. melléklet)</w:t>
      </w:r>
    </w:p>
    <w:p w:rsidR="00B242EC" w:rsidRPr="009E4E4A" w:rsidRDefault="00B242E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B507B9" w:rsidRDefault="00B242EC" w:rsidP="00EF2972">
      <w:pPr>
        <w:jc w:val="both"/>
        <w:rPr>
          <w:rFonts w:ascii="Times New Roman" w:hAnsi="Times New Roman"/>
          <w:sz w:val="20"/>
          <w:szCs w:val="20"/>
        </w:rPr>
      </w:pPr>
      <w:r w:rsidRPr="00B507B9">
        <w:rPr>
          <w:rFonts w:ascii="Times New Roman" w:hAnsi="Times New Roman"/>
          <w:sz w:val="20"/>
          <w:szCs w:val="20"/>
        </w:rPr>
        <w:t xml:space="preserve">Önkormányzatunk 2015. évi sajátos működési bevételei mindösszesen 57.800 </w:t>
      </w:r>
      <w:proofErr w:type="spellStart"/>
      <w:r w:rsidRPr="00B507B9">
        <w:rPr>
          <w:rFonts w:ascii="Times New Roman" w:hAnsi="Times New Roman"/>
          <w:sz w:val="20"/>
          <w:szCs w:val="20"/>
        </w:rPr>
        <w:t>eFt-ot</w:t>
      </w:r>
      <w:proofErr w:type="spellEnd"/>
      <w:r w:rsidRPr="00B507B9">
        <w:rPr>
          <w:rFonts w:ascii="Times New Roman" w:hAnsi="Times New Roman"/>
          <w:sz w:val="20"/>
          <w:szCs w:val="20"/>
        </w:rPr>
        <w:t xml:space="preserve"> jelentenek.</w:t>
      </w:r>
    </w:p>
    <w:p w:rsidR="00B242EC" w:rsidRDefault="00B242E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B854A5" w:rsidRDefault="00B242EC" w:rsidP="00EF2972">
      <w:pPr>
        <w:jc w:val="both"/>
        <w:rPr>
          <w:rFonts w:ascii="Times New Roman" w:hAnsi="Times New Roman"/>
          <w:sz w:val="20"/>
          <w:szCs w:val="20"/>
        </w:rPr>
      </w:pPr>
      <w:r w:rsidRPr="00B854A5">
        <w:rPr>
          <w:rFonts w:ascii="Times New Roman" w:hAnsi="Times New Roman"/>
          <w:sz w:val="20"/>
          <w:szCs w:val="20"/>
        </w:rPr>
        <w:t>A magánszemélyek kommunális adójá</w:t>
      </w:r>
      <w:r w:rsidR="00A779C0" w:rsidRPr="00B854A5">
        <w:rPr>
          <w:rFonts w:ascii="Times New Roman" w:hAnsi="Times New Roman"/>
          <w:sz w:val="20"/>
          <w:szCs w:val="20"/>
        </w:rPr>
        <w:t xml:space="preserve">ból származó bevétel tervezésénél a 2014-ben </w:t>
      </w:r>
      <w:r w:rsidRPr="00B854A5">
        <w:rPr>
          <w:rFonts w:ascii="Times New Roman" w:hAnsi="Times New Roman"/>
          <w:sz w:val="20"/>
          <w:szCs w:val="20"/>
        </w:rPr>
        <w:t>kivetett és befolyt adó összegét, valamint a hátralék mértékét</w:t>
      </w:r>
      <w:r w:rsidR="00B854A5" w:rsidRPr="00B854A5">
        <w:rPr>
          <w:rFonts w:ascii="Times New Roman" w:hAnsi="Times New Roman"/>
          <w:sz w:val="20"/>
          <w:szCs w:val="20"/>
        </w:rPr>
        <w:t xml:space="preserve"> vettük figyelembe.  A</w:t>
      </w:r>
      <w:r w:rsidRPr="00B854A5">
        <w:rPr>
          <w:rFonts w:ascii="Times New Roman" w:hAnsi="Times New Roman"/>
          <w:sz w:val="20"/>
          <w:szCs w:val="20"/>
        </w:rPr>
        <w:t xml:space="preserve"> 201</w:t>
      </w:r>
      <w:r w:rsidR="00B854A5" w:rsidRPr="00B854A5">
        <w:rPr>
          <w:rFonts w:ascii="Times New Roman" w:hAnsi="Times New Roman"/>
          <w:sz w:val="20"/>
          <w:szCs w:val="20"/>
        </w:rPr>
        <w:t>5</w:t>
      </w:r>
      <w:r w:rsidRPr="00B854A5">
        <w:rPr>
          <w:rFonts w:ascii="Times New Roman" w:hAnsi="Times New Roman"/>
          <w:sz w:val="20"/>
          <w:szCs w:val="20"/>
        </w:rPr>
        <w:t>. évre tervezett bevétel 4.</w:t>
      </w:r>
      <w:r w:rsidR="00B854A5" w:rsidRPr="00B854A5">
        <w:rPr>
          <w:rFonts w:ascii="Times New Roman" w:hAnsi="Times New Roman"/>
          <w:sz w:val="20"/>
          <w:szCs w:val="20"/>
        </w:rPr>
        <w:t>6</w:t>
      </w:r>
      <w:r w:rsidRPr="00B854A5">
        <w:rPr>
          <w:rFonts w:ascii="Times New Roman" w:hAnsi="Times New Roman"/>
          <w:sz w:val="20"/>
          <w:szCs w:val="20"/>
        </w:rPr>
        <w:t xml:space="preserve">00 </w:t>
      </w:r>
      <w:proofErr w:type="spellStart"/>
      <w:r w:rsidRPr="00B854A5">
        <w:rPr>
          <w:rFonts w:ascii="Times New Roman" w:hAnsi="Times New Roman"/>
          <w:sz w:val="20"/>
          <w:szCs w:val="20"/>
        </w:rPr>
        <w:t>eFt</w:t>
      </w:r>
      <w:proofErr w:type="spellEnd"/>
      <w:r w:rsidRPr="00B854A5">
        <w:rPr>
          <w:rFonts w:ascii="Times New Roman" w:hAnsi="Times New Roman"/>
          <w:sz w:val="20"/>
          <w:szCs w:val="20"/>
        </w:rPr>
        <w:t>.</w:t>
      </w:r>
    </w:p>
    <w:p w:rsidR="00B242EC" w:rsidRPr="00317DD2" w:rsidRDefault="00B242EC" w:rsidP="00EF2972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317DD2" w:rsidRDefault="00B242EC" w:rsidP="00EF2972">
      <w:pPr>
        <w:jc w:val="both"/>
        <w:rPr>
          <w:rFonts w:ascii="Times New Roman" w:hAnsi="Times New Roman"/>
          <w:sz w:val="20"/>
          <w:szCs w:val="20"/>
        </w:rPr>
      </w:pPr>
      <w:r w:rsidRPr="00317DD2">
        <w:rPr>
          <w:rFonts w:ascii="Times New Roman" w:hAnsi="Times New Roman"/>
          <w:sz w:val="20"/>
          <w:szCs w:val="20"/>
        </w:rPr>
        <w:t xml:space="preserve">Helyi iparűzési adó adónemen a vállalkozások folyamatos gazdasági visszaesése miatt eddig nem keletkezett bevétel kiesés. </w:t>
      </w:r>
      <w:r w:rsidR="00317DD2" w:rsidRPr="00317DD2">
        <w:rPr>
          <w:rFonts w:ascii="Times New Roman" w:hAnsi="Times New Roman"/>
          <w:sz w:val="20"/>
          <w:szCs w:val="20"/>
        </w:rPr>
        <w:t>Figyelembe véve azonban, hogy az idei évben nem várható ideiglenes iparűzési adó bevétel</w:t>
      </w:r>
      <w:r w:rsidR="006D3C0C">
        <w:rPr>
          <w:rFonts w:ascii="Times New Roman" w:hAnsi="Times New Roman"/>
          <w:sz w:val="20"/>
          <w:szCs w:val="20"/>
        </w:rPr>
        <w:t xml:space="preserve"> (pl. vasúti építkezés)</w:t>
      </w:r>
      <w:r w:rsidR="00317DD2" w:rsidRPr="00317DD2">
        <w:rPr>
          <w:rFonts w:ascii="Times New Roman" w:hAnsi="Times New Roman"/>
          <w:sz w:val="20"/>
          <w:szCs w:val="20"/>
        </w:rPr>
        <w:t>, valamint hogy a 2014. évi záráskor 7 millió forint túlfizetés mutatkozott ezen az adónemen, kevesebb (46 millió forint) bevétellel számoltunk</w:t>
      </w:r>
      <w:r w:rsidRPr="00317DD2">
        <w:rPr>
          <w:rFonts w:ascii="Times New Roman" w:hAnsi="Times New Roman"/>
          <w:sz w:val="20"/>
          <w:szCs w:val="20"/>
        </w:rPr>
        <w:t xml:space="preserve">. </w:t>
      </w:r>
    </w:p>
    <w:p w:rsidR="00B242EC" w:rsidRPr="009E4E4A" w:rsidRDefault="00B242E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9E4E4A" w:rsidRDefault="00B242E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317DD2">
        <w:rPr>
          <w:rFonts w:ascii="Times New Roman" w:hAnsi="Times New Roman"/>
          <w:sz w:val="20"/>
          <w:szCs w:val="20"/>
        </w:rPr>
        <w:t>Gépjárműadó adónemnél a 201</w:t>
      </w:r>
      <w:r w:rsidR="00317DD2" w:rsidRPr="00317DD2">
        <w:rPr>
          <w:rFonts w:ascii="Times New Roman" w:hAnsi="Times New Roman"/>
          <w:sz w:val="20"/>
          <w:szCs w:val="20"/>
        </w:rPr>
        <w:t>5</w:t>
      </w:r>
      <w:r w:rsidRPr="00317DD2">
        <w:rPr>
          <w:rFonts w:ascii="Times New Roman" w:hAnsi="Times New Roman"/>
          <w:sz w:val="20"/>
          <w:szCs w:val="20"/>
        </w:rPr>
        <w:t>. évre adóemelés nem történt, a gépkocsik számának emelkedése sem várható. A</w:t>
      </w:r>
      <w:r w:rsidRPr="003A7E7B">
        <w:rPr>
          <w:rFonts w:ascii="Times New Roman" w:hAnsi="Times New Roman"/>
          <w:sz w:val="20"/>
          <w:szCs w:val="20"/>
        </w:rPr>
        <w:t xml:space="preserve"> 2015. évi kivetett adóból származó bevétel 60 %-át továbbra is át kell utalnunk a Magyar Államkincstárnak. A tervezésnél figyelembe vettük az előző évek hátralékának behajtását is, így a várható bevétel 6,5 millió forint.</w:t>
      </w:r>
    </w:p>
    <w:p w:rsidR="00B242EC" w:rsidRPr="009E4E4A" w:rsidRDefault="00B242E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CF3BE9" w:rsidRDefault="00B242EC" w:rsidP="00EF2972">
      <w:pPr>
        <w:jc w:val="both"/>
        <w:rPr>
          <w:rFonts w:ascii="Times New Roman" w:hAnsi="Times New Roman"/>
          <w:sz w:val="20"/>
          <w:szCs w:val="20"/>
        </w:rPr>
      </w:pPr>
      <w:r w:rsidRPr="001A3B25">
        <w:rPr>
          <w:rFonts w:ascii="Times New Roman" w:hAnsi="Times New Roman"/>
          <w:sz w:val="20"/>
          <w:szCs w:val="20"/>
        </w:rPr>
        <w:t xml:space="preserve">A talajterhelési díj </w:t>
      </w:r>
      <w:r w:rsidR="00CF3BE9" w:rsidRPr="001A3B25">
        <w:rPr>
          <w:rFonts w:ascii="Times New Roman" w:hAnsi="Times New Roman"/>
          <w:sz w:val="20"/>
          <w:szCs w:val="20"/>
        </w:rPr>
        <w:t xml:space="preserve">tekintetében </w:t>
      </w:r>
      <w:r w:rsidR="001A3B25" w:rsidRPr="001A3B25">
        <w:rPr>
          <w:rFonts w:ascii="Times New Roman" w:hAnsi="Times New Roman"/>
          <w:sz w:val="20"/>
          <w:szCs w:val="20"/>
        </w:rPr>
        <w:t xml:space="preserve">jelentősebb adóbevétel nem várható, </w:t>
      </w:r>
      <w:r w:rsidR="00CF3BE9" w:rsidRPr="001A3B25">
        <w:rPr>
          <w:rFonts w:ascii="Times New Roman" w:hAnsi="Times New Roman"/>
          <w:sz w:val="20"/>
          <w:szCs w:val="20"/>
        </w:rPr>
        <w:t xml:space="preserve">az előző évek hátralékából befolyó összeggel, 100 </w:t>
      </w:r>
      <w:proofErr w:type="spellStart"/>
      <w:r w:rsidR="00CF3BE9" w:rsidRPr="001A3B25">
        <w:rPr>
          <w:rFonts w:ascii="Times New Roman" w:hAnsi="Times New Roman"/>
          <w:sz w:val="20"/>
          <w:szCs w:val="20"/>
        </w:rPr>
        <w:t>eFt-tal</w:t>
      </w:r>
      <w:proofErr w:type="spellEnd"/>
      <w:r w:rsidR="00CF3BE9" w:rsidRPr="001A3B25">
        <w:rPr>
          <w:rFonts w:ascii="Times New Roman" w:hAnsi="Times New Roman"/>
          <w:sz w:val="20"/>
          <w:szCs w:val="20"/>
        </w:rPr>
        <w:t xml:space="preserve"> terveztünk</w:t>
      </w:r>
      <w:r w:rsidRPr="001A3B25">
        <w:rPr>
          <w:rFonts w:ascii="Times New Roman" w:hAnsi="Times New Roman"/>
          <w:sz w:val="20"/>
          <w:szCs w:val="20"/>
        </w:rPr>
        <w:t>.</w:t>
      </w:r>
      <w:r w:rsidR="00CF3BE9" w:rsidRPr="00CF3BE9">
        <w:rPr>
          <w:rFonts w:ascii="Times New Roman" w:hAnsi="Times New Roman"/>
          <w:sz w:val="20"/>
          <w:szCs w:val="20"/>
        </w:rPr>
        <w:t xml:space="preserve"> </w:t>
      </w:r>
    </w:p>
    <w:p w:rsidR="00B242EC" w:rsidRPr="009E4E4A" w:rsidRDefault="00B242E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3A7E7B" w:rsidRDefault="00B242EC" w:rsidP="00EF2972">
      <w:pPr>
        <w:jc w:val="both"/>
        <w:rPr>
          <w:rFonts w:ascii="Times New Roman" w:hAnsi="Times New Roman"/>
          <w:sz w:val="20"/>
          <w:szCs w:val="20"/>
        </w:rPr>
      </w:pPr>
      <w:r w:rsidRPr="003A7E7B">
        <w:rPr>
          <w:rFonts w:ascii="Times New Roman" w:hAnsi="Times New Roman"/>
          <w:sz w:val="20"/>
          <w:szCs w:val="20"/>
        </w:rPr>
        <w:t xml:space="preserve">A pótlék és bírság összege nem tervezhető, az előző évek hátraléka sem minden esetben hajtható be. 2015. évre a tervezett bevétel 400 </w:t>
      </w:r>
      <w:proofErr w:type="spellStart"/>
      <w:r w:rsidRPr="003A7E7B">
        <w:rPr>
          <w:rFonts w:ascii="Times New Roman" w:hAnsi="Times New Roman"/>
          <w:sz w:val="20"/>
          <w:szCs w:val="20"/>
        </w:rPr>
        <w:t>eFt</w:t>
      </w:r>
      <w:proofErr w:type="spellEnd"/>
      <w:r w:rsidRPr="003A7E7B">
        <w:rPr>
          <w:rFonts w:ascii="Times New Roman" w:hAnsi="Times New Roman"/>
          <w:sz w:val="20"/>
          <w:szCs w:val="20"/>
        </w:rPr>
        <w:t>.</w:t>
      </w:r>
    </w:p>
    <w:p w:rsidR="00B242EC" w:rsidRPr="009E4E4A" w:rsidRDefault="00B242E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5F2200" w:rsidRDefault="00B242EC" w:rsidP="00EF2972">
      <w:pPr>
        <w:jc w:val="both"/>
        <w:rPr>
          <w:rFonts w:ascii="Times New Roman" w:hAnsi="Times New Roman"/>
          <w:sz w:val="20"/>
          <w:szCs w:val="20"/>
        </w:rPr>
      </w:pPr>
      <w:r w:rsidRPr="005F2200">
        <w:rPr>
          <w:rFonts w:ascii="Times New Roman" w:hAnsi="Times New Roman"/>
          <w:sz w:val="20"/>
          <w:szCs w:val="20"/>
        </w:rPr>
        <w:t xml:space="preserve">A bírság, szabálysértési bírság befizetéséből 200 </w:t>
      </w:r>
      <w:proofErr w:type="spellStart"/>
      <w:r w:rsidRPr="005F2200">
        <w:rPr>
          <w:rFonts w:ascii="Times New Roman" w:hAnsi="Times New Roman"/>
          <w:sz w:val="20"/>
          <w:szCs w:val="20"/>
        </w:rPr>
        <w:t>eFt-os</w:t>
      </w:r>
      <w:proofErr w:type="spellEnd"/>
      <w:r w:rsidRPr="005F2200">
        <w:rPr>
          <w:rFonts w:ascii="Times New Roman" w:hAnsi="Times New Roman"/>
          <w:sz w:val="20"/>
          <w:szCs w:val="20"/>
        </w:rPr>
        <w:t xml:space="preserve"> bevétellel számoltunk.</w:t>
      </w:r>
    </w:p>
    <w:p w:rsidR="00B242EC" w:rsidRPr="009E4E4A" w:rsidRDefault="00B242E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9E4E4A" w:rsidRDefault="00B242EC" w:rsidP="008F385C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CE5359" w:rsidRDefault="00B242EC" w:rsidP="006C70D8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CE5359">
        <w:rPr>
          <w:rFonts w:ascii="Times New Roman" w:hAnsi="Times New Roman"/>
          <w:b w:val="0"/>
          <w:i/>
          <w:sz w:val="20"/>
          <w:szCs w:val="20"/>
        </w:rPr>
        <w:t>Önkormányzat költségvetési támogatása (I.3. számú melléklet)</w:t>
      </w:r>
    </w:p>
    <w:p w:rsidR="00B242EC" w:rsidRPr="009E4E4A" w:rsidRDefault="00B242EC" w:rsidP="006245B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9E4E4A" w:rsidRDefault="00B242EC" w:rsidP="006245B7">
      <w:pPr>
        <w:autoSpaceDE w:val="0"/>
        <w:autoSpaceDN w:val="0"/>
        <w:adjustRightInd w:val="0"/>
        <w:jc w:val="both"/>
        <w:rPr>
          <w:rFonts w:cs="Times-Roman"/>
          <w:sz w:val="20"/>
          <w:szCs w:val="20"/>
          <w:highlight w:val="yellow"/>
        </w:rPr>
      </w:pPr>
    </w:p>
    <w:p w:rsidR="00B242EC" w:rsidRPr="00EB0006" w:rsidRDefault="00B242EC" w:rsidP="006245B7">
      <w:pPr>
        <w:autoSpaceDE w:val="0"/>
        <w:autoSpaceDN w:val="0"/>
        <w:adjustRightInd w:val="0"/>
        <w:jc w:val="both"/>
        <w:rPr>
          <w:rFonts w:cs="Times-Roman"/>
          <w:szCs w:val="26"/>
        </w:rPr>
      </w:pPr>
      <w:r w:rsidRPr="00EB0006">
        <w:rPr>
          <w:rFonts w:ascii="Times New Roman" w:hAnsi="Times New Roman"/>
          <w:sz w:val="20"/>
          <w:szCs w:val="20"/>
        </w:rPr>
        <w:t xml:space="preserve">Az alábbi táblázat összefoglalja Piliscsév Község Önkormányzata 2015. </w:t>
      </w:r>
      <w:r>
        <w:rPr>
          <w:rFonts w:ascii="Times New Roman" w:hAnsi="Times New Roman"/>
          <w:sz w:val="20"/>
          <w:szCs w:val="20"/>
        </w:rPr>
        <w:t>évi állami támogatását</w:t>
      </w:r>
      <w:r w:rsidRPr="00EB0006">
        <w:rPr>
          <w:rFonts w:ascii="Times New Roman" w:hAnsi="Times New Roman"/>
          <w:sz w:val="20"/>
          <w:szCs w:val="20"/>
        </w:rPr>
        <w:t xml:space="preserve">, viszonyítva azokat az előző év adataihoz. </w:t>
      </w:r>
    </w:p>
    <w:p w:rsidR="00B242EC" w:rsidRPr="009E4E4A" w:rsidRDefault="00B242EC" w:rsidP="006245B7">
      <w:pPr>
        <w:rPr>
          <w:highlight w:val="yellow"/>
        </w:rPr>
      </w:pPr>
      <w:r w:rsidRPr="009E4E4A">
        <w:rPr>
          <w:highlight w:val="yellow"/>
        </w:rPr>
        <w:lastRenderedPageBreak/>
        <w:t xml:space="preserve">                                                                                                     </w:t>
      </w:r>
    </w:p>
    <w:tbl>
      <w:tblPr>
        <w:tblW w:w="873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980"/>
        <w:gridCol w:w="1940"/>
        <w:gridCol w:w="1816"/>
      </w:tblGrid>
      <w:tr w:rsidR="00B242EC" w:rsidRPr="00666D0B" w:rsidTr="00BC7E0C">
        <w:trPr>
          <w:trHeight w:val="270"/>
        </w:trPr>
        <w:tc>
          <w:tcPr>
            <w:tcW w:w="4980" w:type="dxa"/>
            <w:tcBorders>
              <w:top w:val="nil"/>
              <w:left w:val="nil"/>
              <w:bottom w:val="single" w:sz="12" w:space="0" w:color="984806"/>
              <w:right w:val="nil"/>
            </w:tcBorders>
            <w:noWrap/>
            <w:vAlign w:val="bottom"/>
          </w:tcPr>
          <w:p w:rsidR="00B242EC" w:rsidRPr="00666D0B" w:rsidRDefault="00B242EC" w:rsidP="00666D0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984806"/>
              <w:right w:val="nil"/>
            </w:tcBorders>
            <w:noWrap/>
            <w:vAlign w:val="bottom"/>
          </w:tcPr>
          <w:p w:rsidR="00B242EC" w:rsidRPr="00666D0B" w:rsidRDefault="00B242EC" w:rsidP="00666D0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984806"/>
              <w:right w:val="nil"/>
            </w:tcBorders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666D0B">
              <w:rPr>
                <w:rFonts w:ascii="Arial" w:hAnsi="Arial"/>
                <w:sz w:val="14"/>
                <w:szCs w:val="14"/>
              </w:rPr>
              <w:t>Ft</w:t>
            </w:r>
          </w:p>
        </w:tc>
      </w:tr>
      <w:tr w:rsidR="00B242EC" w:rsidRPr="00666D0B" w:rsidTr="00BC7E0C">
        <w:trPr>
          <w:trHeight w:val="375"/>
        </w:trPr>
        <w:tc>
          <w:tcPr>
            <w:tcW w:w="4980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8" w:space="0" w:color="984806"/>
            </w:tcBorders>
            <w:shd w:val="clear" w:color="auto" w:fill="FBD4B4"/>
            <w:noWrap/>
            <w:vAlign w:val="bottom"/>
          </w:tcPr>
          <w:p w:rsidR="00B242EC" w:rsidRPr="00666D0B" w:rsidRDefault="00B242EC" w:rsidP="00666D0B">
            <w:pPr>
              <w:jc w:val="center"/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1940" w:type="dxa"/>
            <w:tcBorders>
              <w:top w:val="single" w:sz="12" w:space="0" w:color="984806"/>
              <w:left w:val="single" w:sz="8" w:space="0" w:color="984806"/>
              <w:bottom w:val="single" w:sz="12" w:space="0" w:color="984806"/>
              <w:right w:val="single" w:sz="8" w:space="0" w:color="984806"/>
            </w:tcBorders>
            <w:shd w:val="clear" w:color="auto" w:fill="FBD4B4"/>
            <w:noWrap/>
            <w:vAlign w:val="bottom"/>
          </w:tcPr>
          <w:p w:rsidR="00B242EC" w:rsidRPr="00666D0B" w:rsidRDefault="00B242EC" w:rsidP="00666D0B">
            <w:pPr>
              <w:jc w:val="center"/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1816" w:type="dxa"/>
            <w:tcBorders>
              <w:top w:val="single" w:sz="12" w:space="0" w:color="984806"/>
              <w:left w:val="single" w:sz="8" w:space="0" w:color="984806"/>
              <w:bottom w:val="single" w:sz="12" w:space="0" w:color="984806"/>
              <w:right w:val="single" w:sz="12" w:space="0" w:color="984806"/>
            </w:tcBorders>
            <w:shd w:val="clear" w:color="auto" w:fill="FBD4B4"/>
            <w:noWrap/>
            <w:vAlign w:val="bottom"/>
          </w:tcPr>
          <w:p w:rsidR="00B242EC" w:rsidRPr="00666D0B" w:rsidRDefault="00B242EC" w:rsidP="00666D0B">
            <w:pPr>
              <w:jc w:val="center"/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2015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12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Népességszám</w:t>
            </w:r>
          </w:p>
        </w:tc>
        <w:tc>
          <w:tcPr>
            <w:tcW w:w="1940" w:type="dxa"/>
            <w:tcBorders>
              <w:top w:val="single" w:sz="12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66D0B">
              <w:rPr>
                <w:rFonts w:ascii="Arial" w:hAnsi="Arial"/>
                <w:sz w:val="14"/>
                <w:szCs w:val="14"/>
              </w:rPr>
              <w:t>2416</w:t>
            </w:r>
          </w:p>
        </w:tc>
        <w:tc>
          <w:tcPr>
            <w:tcW w:w="1816" w:type="dxa"/>
            <w:tcBorders>
              <w:top w:val="single" w:sz="12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66D0B">
              <w:rPr>
                <w:rFonts w:ascii="Arial" w:hAnsi="Arial"/>
                <w:sz w:val="14"/>
                <w:szCs w:val="14"/>
              </w:rPr>
              <w:t>2431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5B173D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Önkormányzati hivatal műk</w:t>
            </w:r>
            <w:r>
              <w:rPr>
                <w:sz w:val="14"/>
                <w:szCs w:val="14"/>
              </w:rPr>
              <w:t>ödésének</w:t>
            </w:r>
            <w:r w:rsidRPr="00666D0B">
              <w:rPr>
                <w:sz w:val="14"/>
                <w:szCs w:val="14"/>
              </w:rPr>
              <w:t xml:space="preserve">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55 509 600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55 326 400</w:t>
            </w:r>
          </w:p>
        </w:tc>
      </w:tr>
      <w:tr w:rsidR="00B242EC" w:rsidRPr="00666D0B" w:rsidTr="00BC7E0C">
        <w:trPr>
          <w:trHeight w:val="434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Települési önkormányzatok üzemeltetési, igazgatási, sport-és kulturális feladatai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10 691 406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11 117 240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Lakott külterülettel kapcsolatos</w:t>
            </w:r>
            <w:r w:rsidRPr="00666D0B">
              <w:rPr>
                <w:sz w:val="14"/>
                <w:szCs w:val="14"/>
              </w:rPr>
              <w:t xml:space="preserve"> feladatok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53 981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53 550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5B173D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Egyéb kötelező önkorm</w:t>
            </w:r>
            <w:r>
              <w:rPr>
                <w:sz w:val="14"/>
                <w:szCs w:val="14"/>
              </w:rPr>
              <w:t>ányzati</w:t>
            </w:r>
            <w:r w:rsidRPr="00666D0B">
              <w:rPr>
                <w:sz w:val="14"/>
                <w:szCs w:val="14"/>
              </w:rPr>
              <w:t xml:space="preserve"> felad ell</w:t>
            </w:r>
            <w:r>
              <w:rPr>
                <w:sz w:val="14"/>
                <w:szCs w:val="14"/>
              </w:rPr>
              <w:t>átása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6 523 200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6 563 700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Pénzbeli szociális ell</w:t>
            </w:r>
            <w:r>
              <w:rPr>
                <w:sz w:val="14"/>
                <w:szCs w:val="14"/>
              </w:rPr>
              <w:t>átások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8 394 879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11 369 940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beszámítás összege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-12 329 300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-3 605 278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Könyvtár közművelődés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2 754 240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2 771 340</w:t>
            </w:r>
          </w:p>
        </w:tc>
      </w:tr>
      <w:tr w:rsidR="00B242EC" w:rsidRPr="00666D0B" w:rsidTr="00BC7E0C">
        <w:trPr>
          <w:trHeight w:val="401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Óvodapedagógusok és az óvodapedagógusok munkáját közvetlenül segítők bértámogatása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40 311 200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39 967 100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Óvodaműködtetési támogatás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4 069 333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4 806 667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Gyermekétkeztetés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4 993 920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7 996 800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12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Gyermekétkeztetés üzemeltetési tám.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12" w:space="0" w:color="984806"/>
              <w:right w:val="single" w:sz="8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1 918 037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12" w:space="0" w:color="984806"/>
              <w:right w:val="single" w:sz="12" w:space="0" w:color="984806"/>
            </w:tcBorders>
            <w:shd w:val="clear" w:color="auto" w:fill="FFFFCC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2 557 063</w:t>
            </w:r>
          </w:p>
        </w:tc>
      </w:tr>
      <w:tr w:rsidR="00B242EC" w:rsidRPr="00666D0B" w:rsidTr="00BC7E0C">
        <w:trPr>
          <w:trHeight w:val="315"/>
        </w:trPr>
        <w:tc>
          <w:tcPr>
            <w:tcW w:w="4980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8" w:space="0" w:color="984806"/>
            </w:tcBorders>
            <w:shd w:val="clear" w:color="auto" w:fill="FBD4B4"/>
            <w:noWrap/>
            <w:vAlign w:val="bottom"/>
          </w:tcPr>
          <w:p w:rsidR="00B242EC" w:rsidRPr="00666D0B" w:rsidRDefault="00B242EC" w:rsidP="00666D0B">
            <w:pPr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Állami támogatás mindösszesen:</w:t>
            </w:r>
          </w:p>
        </w:tc>
        <w:tc>
          <w:tcPr>
            <w:tcW w:w="1940" w:type="dxa"/>
            <w:tcBorders>
              <w:top w:val="single" w:sz="12" w:space="0" w:color="984806"/>
              <w:left w:val="single" w:sz="8" w:space="0" w:color="984806"/>
              <w:bottom w:val="single" w:sz="12" w:space="0" w:color="984806"/>
              <w:right w:val="single" w:sz="8" w:space="0" w:color="984806"/>
            </w:tcBorders>
            <w:shd w:val="clear" w:color="auto" w:fill="FBD4B4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122 890 496</w:t>
            </w:r>
          </w:p>
        </w:tc>
        <w:tc>
          <w:tcPr>
            <w:tcW w:w="1816" w:type="dxa"/>
            <w:tcBorders>
              <w:top w:val="single" w:sz="12" w:space="0" w:color="984806"/>
              <w:left w:val="single" w:sz="8" w:space="0" w:color="984806"/>
              <w:bottom w:val="single" w:sz="12" w:space="0" w:color="984806"/>
              <w:right w:val="single" w:sz="12" w:space="0" w:color="984806"/>
            </w:tcBorders>
            <w:shd w:val="clear" w:color="auto" w:fill="FBD4B4"/>
            <w:noWrap/>
            <w:vAlign w:val="bottom"/>
          </w:tcPr>
          <w:p w:rsidR="00B242EC" w:rsidRPr="00666D0B" w:rsidRDefault="00B242EC" w:rsidP="00666D0B">
            <w:pPr>
              <w:jc w:val="right"/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138 924 522</w:t>
            </w:r>
          </w:p>
        </w:tc>
      </w:tr>
    </w:tbl>
    <w:p w:rsidR="00B242EC" w:rsidRPr="009E4E4A" w:rsidRDefault="00B242EC" w:rsidP="008F385C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Pr="00EE4D30" w:rsidRDefault="00B242EC" w:rsidP="008F385C">
      <w:pPr>
        <w:jc w:val="both"/>
        <w:rPr>
          <w:rFonts w:ascii="Times New Roman" w:hAnsi="Times New Roman"/>
          <w:sz w:val="20"/>
          <w:szCs w:val="20"/>
        </w:rPr>
      </w:pPr>
      <w:r w:rsidRPr="00EE4D30">
        <w:rPr>
          <w:rFonts w:ascii="Times New Roman" w:hAnsi="Times New Roman"/>
          <w:sz w:val="20"/>
          <w:szCs w:val="20"/>
        </w:rPr>
        <w:t xml:space="preserve">Az </w:t>
      </w:r>
      <w:r w:rsidRPr="00EE4D30">
        <w:rPr>
          <w:rFonts w:ascii="Times New Roman" w:hAnsi="Times New Roman"/>
          <w:i/>
          <w:sz w:val="20"/>
          <w:szCs w:val="20"/>
        </w:rPr>
        <w:t xml:space="preserve">önkormányzati hivatal működésének támogatását </w:t>
      </w:r>
      <w:r w:rsidRPr="00EE4D30">
        <w:rPr>
          <w:rFonts w:ascii="Times New Roman" w:hAnsi="Times New Roman"/>
          <w:sz w:val="20"/>
          <w:szCs w:val="20"/>
        </w:rPr>
        <w:t>idén is</w:t>
      </w:r>
      <w:r>
        <w:rPr>
          <w:rFonts w:ascii="Times New Roman" w:hAnsi="Times New Roman"/>
          <w:sz w:val="20"/>
          <w:szCs w:val="20"/>
        </w:rPr>
        <w:t xml:space="preserve"> a székhely településnek utalja az Államkincstár</w:t>
      </w:r>
      <w:r w:rsidRPr="00EE4D30">
        <w:rPr>
          <w:rFonts w:ascii="Times New Roman" w:hAnsi="Times New Roman"/>
          <w:i/>
          <w:sz w:val="20"/>
          <w:szCs w:val="20"/>
        </w:rPr>
        <w:t xml:space="preserve">. </w:t>
      </w:r>
      <w:r w:rsidRPr="00EE4D30">
        <w:rPr>
          <w:rFonts w:ascii="Times New Roman" w:hAnsi="Times New Roman"/>
          <w:sz w:val="20"/>
          <w:szCs w:val="20"/>
        </w:rPr>
        <w:t xml:space="preserve">Az 55.326 </w:t>
      </w:r>
      <w:proofErr w:type="spellStart"/>
      <w:r w:rsidRPr="00EE4D30">
        <w:rPr>
          <w:rFonts w:ascii="Times New Roman" w:hAnsi="Times New Roman"/>
          <w:sz w:val="20"/>
          <w:szCs w:val="20"/>
        </w:rPr>
        <w:t>eFt</w:t>
      </w:r>
      <w:r w:rsidRPr="0048509A">
        <w:rPr>
          <w:rFonts w:ascii="Times New Roman" w:hAnsi="Times New Roman"/>
          <w:sz w:val="20"/>
          <w:szCs w:val="20"/>
        </w:rPr>
        <w:t>-os</w:t>
      </w:r>
      <w:proofErr w:type="spellEnd"/>
      <w:r w:rsidRPr="0048509A">
        <w:rPr>
          <w:rFonts w:ascii="Times New Roman" w:hAnsi="Times New Roman"/>
          <w:sz w:val="20"/>
          <w:szCs w:val="20"/>
        </w:rPr>
        <w:t xml:space="preserve"> összeg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E4D30">
        <w:rPr>
          <w:rFonts w:ascii="Times New Roman" w:hAnsi="Times New Roman"/>
          <w:sz w:val="20"/>
          <w:szCs w:val="20"/>
        </w:rPr>
        <w:t>teljes mértékben átadásra kerül a Közös Önkormányzati Hivatal számára, intézményfinanszírozásként.</w:t>
      </w:r>
    </w:p>
    <w:p w:rsidR="00B242EC" w:rsidRDefault="00B242EC" w:rsidP="008F385C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Default="00B242EC" w:rsidP="008F385C">
      <w:pPr>
        <w:jc w:val="both"/>
        <w:rPr>
          <w:rFonts w:ascii="Times New Roman" w:hAnsi="Times New Roman"/>
          <w:sz w:val="20"/>
          <w:szCs w:val="20"/>
        </w:rPr>
      </w:pPr>
      <w:r w:rsidRPr="00C31E0A">
        <w:rPr>
          <w:rFonts w:ascii="Times New Roman" w:hAnsi="Times New Roman"/>
          <w:sz w:val="20"/>
          <w:szCs w:val="20"/>
        </w:rPr>
        <w:t xml:space="preserve">A </w:t>
      </w:r>
      <w:r w:rsidRPr="00C31E0A">
        <w:rPr>
          <w:rFonts w:ascii="Times New Roman" w:hAnsi="Times New Roman"/>
          <w:i/>
          <w:sz w:val="20"/>
          <w:szCs w:val="20"/>
        </w:rPr>
        <w:t>településüzemeltetéshez</w:t>
      </w:r>
      <w:r w:rsidRPr="00C31E0A">
        <w:rPr>
          <w:rFonts w:ascii="Times New Roman" w:hAnsi="Times New Roman"/>
          <w:sz w:val="20"/>
          <w:szCs w:val="20"/>
        </w:rPr>
        <w:t xml:space="preserve">, az </w:t>
      </w:r>
      <w:r w:rsidRPr="00C31E0A">
        <w:rPr>
          <w:rFonts w:ascii="Times New Roman" w:hAnsi="Times New Roman"/>
          <w:i/>
          <w:sz w:val="20"/>
          <w:szCs w:val="20"/>
        </w:rPr>
        <w:t>óvodai bérhez és működtetéshez</w:t>
      </w:r>
      <w:r w:rsidRPr="00C31E0A">
        <w:rPr>
          <w:rFonts w:ascii="Times New Roman" w:hAnsi="Times New Roman"/>
          <w:sz w:val="20"/>
          <w:szCs w:val="20"/>
        </w:rPr>
        <w:t xml:space="preserve">, valamint az </w:t>
      </w:r>
      <w:r w:rsidRPr="00C31E0A">
        <w:rPr>
          <w:rFonts w:ascii="Times New Roman" w:hAnsi="Times New Roman"/>
          <w:i/>
          <w:sz w:val="20"/>
          <w:szCs w:val="20"/>
        </w:rPr>
        <w:t>egyéb önkormányzati feladatokhoz</w:t>
      </w:r>
      <w:r w:rsidRPr="00C31E0A">
        <w:rPr>
          <w:rFonts w:ascii="Times New Roman" w:hAnsi="Times New Roman"/>
          <w:sz w:val="20"/>
          <w:szCs w:val="20"/>
        </w:rPr>
        <w:t xml:space="preserve"> kapcsolódó támogatások kis mértékben emelkedtek, a </w:t>
      </w:r>
      <w:r w:rsidRPr="00C31E0A">
        <w:rPr>
          <w:rFonts w:ascii="Times New Roman" w:hAnsi="Times New Roman"/>
          <w:i/>
          <w:sz w:val="20"/>
          <w:szCs w:val="20"/>
        </w:rPr>
        <w:t>gyermekétkeztetés</w:t>
      </w:r>
      <w:r w:rsidRPr="00C31E0A">
        <w:rPr>
          <w:rFonts w:ascii="Times New Roman" w:hAnsi="Times New Roman"/>
          <w:sz w:val="20"/>
          <w:szCs w:val="20"/>
        </w:rPr>
        <w:t xml:space="preserve"> támogatása </w:t>
      </w:r>
      <w:r>
        <w:rPr>
          <w:rFonts w:ascii="Times New Roman" w:hAnsi="Times New Roman"/>
          <w:sz w:val="20"/>
          <w:szCs w:val="20"/>
        </w:rPr>
        <w:t xml:space="preserve">azonban </w:t>
      </w:r>
      <w:r w:rsidRPr="00C31E0A">
        <w:rPr>
          <w:rFonts w:ascii="Times New Roman" w:hAnsi="Times New Roman"/>
          <w:sz w:val="20"/>
          <w:szCs w:val="20"/>
        </w:rPr>
        <w:t xml:space="preserve">jelentős mértékben, mintegy 3.642 </w:t>
      </w:r>
      <w:proofErr w:type="spellStart"/>
      <w:r w:rsidRPr="00C31E0A">
        <w:rPr>
          <w:rFonts w:ascii="Times New Roman" w:hAnsi="Times New Roman"/>
          <w:sz w:val="20"/>
          <w:szCs w:val="20"/>
        </w:rPr>
        <w:t>eFt-tal</w:t>
      </w:r>
      <w:proofErr w:type="spellEnd"/>
      <w:r w:rsidRPr="00C31E0A">
        <w:rPr>
          <w:rFonts w:ascii="Times New Roman" w:hAnsi="Times New Roman"/>
          <w:sz w:val="20"/>
          <w:szCs w:val="20"/>
        </w:rPr>
        <w:t xml:space="preserve"> nőtt.</w:t>
      </w:r>
    </w:p>
    <w:p w:rsidR="00B242EC" w:rsidRDefault="00B242EC" w:rsidP="008F385C">
      <w:pPr>
        <w:jc w:val="both"/>
        <w:rPr>
          <w:rFonts w:ascii="Times New Roman" w:hAnsi="Times New Roman"/>
          <w:sz w:val="20"/>
          <w:szCs w:val="20"/>
        </w:rPr>
      </w:pPr>
    </w:p>
    <w:p w:rsidR="00B242EC" w:rsidRDefault="00B242EC" w:rsidP="00F4155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állami támogatás főösszegének jelentős emelkedését okozta a beszámítás összegének csökkenése. A beszámítás összege a 2013. évi iparűzési adóalappal, valamint </w:t>
      </w:r>
      <w:r w:rsidRPr="0018115D">
        <w:rPr>
          <w:rFonts w:ascii="Times New Roman" w:hAnsi="Times New Roman"/>
          <w:sz w:val="20"/>
          <w:szCs w:val="20"/>
        </w:rPr>
        <w:t>a települési önkormányzat egy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115D">
        <w:rPr>
          <w:rFonts w:ascii="Times New Roman" w:hAnsi="Times New Roman"/>
          <w:sz w:val="20"/>
          <w:szCs w:val="20"/>
        </w:rPr>
        <w:t>lakosra jutó adóerő-ké</w:t>
      </w:r>
      <w:r>
        <w:rPr>
          <w:rFonts w:ascii="Times New Roman" w:hAnsi="Times New Roman"/>
          <w:sz w:val="20"/>
          <w:szCs w:val="20"/>
        </w:rPr>
        <w:t>pességével van összefüggésben</w:t>
      </w:r>
      <w:r w:rsidR="00A878D0">
        <w:rPr>
          <w:rFonts w:ascii="Times New Roman" w:hAnsi="Times New Roman"/>
          <w:sz w:val="20"/>
          <w:szCs w:val="20"/>
        </w:rPr>
        <w:t>. (Az Államkincstár által számított adat.)</w:t>
      </w:r>
    </w:p>
    <w:p w:rsidR="00B242EC" w:rsidRDefault="00B242EC" w:rsidP="008F385C">
      <w:pPr>
        <w:jc w:val="both"/>
        <w:rPr>
          <w:sz w:val="23"/>
          <w:szCs w:val="23"/>
        </w:rPr>
      </w:pPr>
    </w:p>
    <w:p w:rsidR="00B242EC" w:rsidRPr="00C31E0A" w:rsidRDefault="00B242EC" w:rsidP="008F385C">
      <w:pPr>
        <w:jc w:val="both"/>
        <w:rPr>
          <w:rFonts w:ascii="Times New Roman" w:hAnsi="Times New Roman"/>
          <w:sz w:val="20"/>
          <w:szCs w:val="20"/>
        </w:rPr>
      </w:pPr>
      <w:r w:rsidRPr="00B06352">
        <w:rPr>
          <w:rFonts w:ascii="Times New Roman" w:hAnsi="Times New Roman"/>
          <w:sz w:val="20"/>
          <w:szCs w:val="20"/>
        </w:rPr>
        <w:t>A pénzbeli és természetbeni szociális ellátások rendszere 2015. évben jelentős mértékben átalakul. Az átalakítások fő elemeiről a</w:t>
      </w:r>
      <w:r>
        <w:rPr>
          <w:rFonts w:ascii="Times New Roman" w:hAnsi="Times New Roman"/>
          <w:sz w:val="20"/>
          <w:szCs w:val="20"/>
        </w:rPr>
        <w:t>z előterjesztés</w:t>
      </w:r>
      <w:r w:rsidRPr="00B06352">
        <w:rPr>
          <w:rFonts w:ascii="Times New Roman" w:hAnsi="Times New Roman"/>
          <w:sz w:val="20"/>
          <w:szCs w:val="20"/>
        </w:rPr>
        <w:t xml:space="preserve"> </w:t>
      </w:r>
      <w:r w:rsidRPr="00ED0051">
        <w:rPr>
          <w:rFonts w:ascii="Times New Roman" w:hAnsi="Times New Roman"/>
          <w:b/>
          <w:sz w:val="20"/>
          <w:szCs w:val="20"/>
        </w:rPr>
        <w:t>2. Kiadások</w:t>
      </w:r>
      <w:r w:rsidRPr="00B06352">
        <w:rPr>
          <w:rFonts w:ascii="Times New Roman" w:hAnsi="Times New Roman"/>
          <w:sz w:val="20"/>
          <w:szCs w:val="20"/>
        </w:rPr>
        <w:t>/</w:t>
      </w:r>
      <w:r w:rsidRPr="00ED0051">
        <w:rPr>
          <w:rFonts w:ascii="Times New Roman" w:hAnsi="Times New Roman"/>
          <w:i/>
          <w:sz w:val="20"/>
          <w:szCs w:val="20"/>
        </w:rPr>
        <w:t>Segélyek</w:t>
      </w:r>
      <w:r w:rsidRPr="00B06352">
        <w:rPr>
          <w:rFonts w:ascii="Times New Roman" w:hAnsi="Times New Roman"/>
          <w:sz w:val="20"/>
          <w:szCs w:val="20"/>
        </w:rPr>
        <w:t xml:space="preserve"> fejezete részletesebb tájékoztatást ad. Az önkormányzat pénzbeli szociális ellátások jogcímen 11.369 </w:t>
      </w:r>
      <w:proofErr w:type="spellStart"/>
      <w:r w:rsidRPr="00B06352">
        <w:rPr>
          <w:rFonts w:ascii="Times New Roman" w:hAnsi="Times New Roman"/>
          <w:sz w:val="20"/>
          <w:szCs w:val="20"/>
        </w:rPr>
        <w:t>eFt-ot</w:t>
      </w:r>
      <w:proofErr w:type="spellEnd"/>
      <w:r w:rsidRPr="00B06352">
        <w:rPr>
          <w:rFonts w:ascii="Times New Roman" w:hAnsi="Times New Roman"/>
          <w:sz w:val="20"/>
          <w:szCs w:val="20"/>
        </w:rPr>
        <w:t xml:space="preserve"> kap</w:t>
      </w:r>
      <w:r>
        <w:rPr>
          <w:rFonts w:ascii="Times New Roman" w:hAnsi="Times New Roman"/>
          <w:sz w:val="20"/>
          <w:szCs w:val="20"/>
        </w:rPr>
        <w:t xml:space="preserve"> 2015-ben.</w:t>
      </w:r>
    </w:p>
    <w:p w:rsidR="00B242EC" w:rsidRDefault="00B242EC" w:rsidP="00AF2B2F">
      <w:pPr>
        <w:pStyle w:val="Cmsor1"/>
        <w:spacing w:line="360" w:lineRule="auto"/>
        <w:rPr>
          <w:rFonts w:ascii="Times New Roman" w:hAnsi="Times New Roman"/>
          <w:b w:val="0"/>
          <w:i/>
          <w:sz w:val="20"/>
          <w:szCs w:val="20"/>
        </w:rPr>
      </w:pPr>
    </w:p>
    <w:p w:rsidR="00B242EC" w:rsidRPr="000A6916" w:rsidRDefault="00B242EC" w:rsidP="00AF2B2F">
      <w:pPr>
        <w:pStyle w:val="Cmsor1"/>
        <w:spacing w:line="360" w:lineRule="auto"/>
        <w:rPr>
          <w:rFonts w:ascii="Times New Roman" w:hAnsi="Times New Roman"/>
          <w:b w:val="0"/>
          <w:i/>
          <w:sz w:val="20"/>
          <w:szCs w:val="20"/>
        </w:rPr>
      </w:pPr>
      <w:r w:rsidRPr="000A6916">
        <w:rPr>
          <w:rFonts w:ascii="Times New Roman" w:hAnsi="Times New Roman"/>
          <w:b w:val="0"/>
          <w:i/>
          <w:sz w:val="20"/>
          <w:szCs w:val="20"/>
        </w:rPr>
        <w:t>Felhalmozási bevételek (I.2. melléklet)</w:t>
      </w:r>
    </w:p>
    <w:p w:rsidR="00B242EC" w:rsidRPr="000A6916" w:rsidRDefault="00B242EC" w:rsidP="005F3CBE">
      <w:pPr>
        <w:jc w:val="both"/>
        <w:rPr>
          <w:rFonts w:ascii="Times New Roman" w:hAnsi="Times New Roman"/>
          <w:sz w:val="20"/>
          <w:szCs w:val="20"/>
        </w:rPr>
      </w:pPr>
      <w:r w:rsidRPr="000A6916">
        <w:rPr>
          <w:rFonts w:ascii="Times New Roman" w:hAnsi="Times New Roman"/>
          <w:sz w:val="20"/>
          <w:szCs w:val="20"/>
        </w:rPr>
        <w:t xml:space="preserve">2015-ben előre láthatólag nem kerül sor önkormányzati ingatlan értékesítésére, ezért az eredeti költségvetésben nem tervezünk felhalmozási bevétellel. </w:t>
      </w:r>
    </w:p>
    <w:p w:rsidR="00B242EC" w:rsidRPr="009E4E4A" w:rsidRDefault="00B242EC" w:rsidP="0040588A">
      <w:pPr>
        <w:pStyle w:val="Cmsor1"/>
        <w:rPr>
          <w:rFonts w:ascii="Times New Roman" w:hAnsi="Times New Roman"/>
          <w:b w:val="0"/>
          <w:bCs w:val="0"/>
          <w:sz w:val="20"/>
          <w:szCs w:val="20"/>
          <w:highlight w:val="yellow"/>
        </w:rPr>
      </w:pPr>
    </w:p>
    <w:p w:rsidR="00B242EC" w:rsidRPr="00A20440" w:rsidRDefault="00B242E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A20440">
        <w:rPr>
          <w:rFonts w:ascii="Times New Roman" w:hAnsi="Times New Roman"/>
          <w:b w:val="0"/>
          <w:i/>
          <w:sz w:val="20"/>
          <w:szCs w:val="20"/>
        </w:rPr>
        <w:t>Pénzeszköz átvétel (I.2. melléklet)</w:t>
      </w:r>
    </w:p>
    <w:p w:rsidR="00B242EC" w:rsidRPr="00A20440" w:rsidRDefault="00B242EC" w:rsidP="0040588A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A20440" w:rsidRDefault="00B242EC" w:rsidP="0040588A">
      <w:pPr>
        <w:jc w:val="both"/>
        <w:rPr>
          <w:rFonts w:ascii="Times New Roman" w:hAnsi="Times New Roman"/>
          <w:sz w:val="20"/>
          <w:szCs w:val="20"/>
        </w:rPr>
      </w:pPr>
      <w:r w:rsidRPr="00A20440">
        <w:rPr>
          <w:rFonts w:ascii="Times New Roman" w:hAnsi="Times New Roman"/>
          <w:sz w:val="20"/>
          <w:szCs w:val="20"/>
        </w:rPr>
        <w:t xml:space="preserve">Önkormányzatunk a </w:t>
      </w:r>
      <w:proofErr w:type="spellStart"/>
      <w:r w:rsidRPr="00A20440">
        <w:rPr>
          <w:rFonts w:ascii="Times New Roman" w:hAnsi="Times New Roman"/>
          <w:sz w:val="20"/>
          <w:szCs w:val="20"/>
        </w:rPr>
        <w:t>MEP-től</w:t>
      </w:r>
      <w:proofErr w:type="spellEnd"/>
      <w:r w:rsidRPr="00A20440">
        <w:rPr>
          <w:rFonts w:ascii="Times New Roman" w:hAnsi="Times New Roman"/>
          <w:sz w:val="20"/>
          <w:szCs w:val="20"/>
        </w:rPr>
        <w:t xml:space="preserve"> a védőnői szolgálat és az iskola egészségügyi ellátás finanszírozásához kap hozzájárulást, </w:t>
      </w:r>
      <w:r w:rsidR="00405D29">
        <w:rPr>
          <w:rFonts w:ascii="Times New Roman" w:hAnsi="Times New Roman"/>
          <w:sz w:val="20"/>
          <w:szCs w:val="20"/>
        </w:rPr>
        <w:t xml:space="preserve">várhatóan </w:t>
      </w:r>
      <w:r w:rsidRPr="00A20440">
        <w:rPr>
          <w:rFonts w:ascii="Times New Roman" w:hAnsi="Times New Roman"/>
          <w:sz w:val="20"/>
          <w:szCs w:val="20"/>
        </w:rPr>
        <w:t xml:space="preserve">3.500 </w:t>
      </w:r>
      <w:proofErr w:type="spellStart"/>
      <w:r w:rsidRPr="00A20440">
        <w:rPr>
          <w:rFonts w:ascii="Times New Roman" w:hAnsi="Times New Roman"/>
          <w:sz w:val="20"/>
          <w:szCs w:val="20"/>
        </w:rPr>
        <w:t>eFt</w:t>
      </w:r>
      <w:proofErr w:type="spellEnd"/>
      <w:r w:rsidRPr="00A20440">
        <w:rPr>
          <w:rFonts w:ascii="Times New Roman" w:hAnsi="Times New Roman"/>
          <w:sz w:val="20"/>
          <w:szCs w:val="20"/>
        </w:rPr>
        <w:t xml:space="preserve"> összegben. </w:t>
      </w:r>
    </w:p>
    <w:p w:rsidR="00B242EC" w:rsidRPr="009E4E4A" w:rsidRDefault="00B242EC" w:rsidP="0040588A">
      <w:pPr>
        <w:pStyle w:val="Cmsor1"/>
        <w:rPr>
          <w:rFonts w:ascii="Times New Roman" w:hAnsi="Times New Roman"/>
          <w:sz w:val="20"/>
          <w:szCs w:val="20"/>
          <w:highlight w:val="yellow"/>
        </w:rPr>
      </w:pPr>
    </w:p>
    <w:p w:rsidR="00B242EC" w:rsidRPr="009E4E4A" w:rsidRDefault="00B242EC" w:rsidP="005858F1">
      <w:pPr>
        <w:jc w:val="both"/>
        <w:rPr>
          <w:sz w:val="20"/>
          <w:szCs w:val="20"/>
          <w:highlight w:val="yellow"/>
        </w:rPr>
      </w:pPr>
      <w:r w:rsidRPr="009E4E4A">
        <w:rPr>
          <w:rFonts w:ascii="Times New Roman" w:hAnsi="Times New Roman"/>
          <w:i/>
          <w:sz w:val="20"/>
          <w:szCs w:val="20"/>
          <w:highlight w:val="yellow"/>
        </w:rPr>
        <w:t xml:space="preserve">  </w:t>
      </w:r>
    </w:p>
    <w:p w:rsidR="00B242EC" w:rsidRPr="008B5552" w:rsidRDefault="00B242EC" w:rsidP="00AF2B2F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8B5552">
        <w:rPr>
          <w:rFonts w:ascii="Times New Roman" w:hAnsi="Times New Roman"/>
          <w:b w:val="0"/>
          <w:i/>
          <w:sz w:val="20"/>
          <w:szCs w:val="20"/>
        </w:rPr>
        <w:t>Pénzmaradvány (I.</w:t>
      </w:r>
      <w:proofErr w:type="gramStart"/>
      <w:r w:rsidRPr="008B5552">
        <w:rPr>
          <w:rFonts w:ascii="Times New Roman" w:hAnsi="Times New Roman"/>
          <w:b w:val="0"/>
          <w:i/>
          <w:sz w:val="20"/>
          <w:szCs w:val="20"/>
        </w:rPr>
        <w:t>1 .</w:t>
      </w:r>
      <w:proofErr w:type="gramEnd"/>
      <w:r w:rsidRPr="008B5552">
        <w:rPr>
          <w:rFonts w:ascii="Times New Roman" w:hAnsi="Times New Roman"/>
          <w:b w:val="0"/>
          <w:i/>
          <w:sz w:val="20"/>
          <w:szCs w:val="20"/>
        </w:rPr>
        <w:t xml:space="preserve"> melléklet)</w:t>
      </w:r>
    </w:p>
    <w:p w:rsidR="00B242EC" w:rsidRPr="008B5552" w:rsidRDefault="00B242EC" w:rsidP="00D56F36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8B5552" w:rsidRDefault="00B242EC" w:rsidP="00D56F36">
      <w:pPr>
        <w:jc w:val="both"/>
        <w:rPr>
          <w:rFonts w:ascii="Times New Roman" w:hAnsi="Times New Roman"/>
          <w:sz w:val="20"/>
          <w:szCs w:val="20"/>
        </w:rPr>
      </w:pPr>
      <w:r w:rsidRPr="008B5552">
        <w:rPr>
          <w:rFonts w:ascii="Times New Roman" w:hAnsi="Times New Roman"/>
          <w:sz w:val="20"/>
          <w:szCs w:val="20"/>
        </w:rPr>
        <w:t xml:space="preserve">A 2014. évet </w:t>
      </w:r>
      <w:r w:rsidR="00D57A44">
        <w:rPr>
          <w:rFonts w:ascii="Times New Roman" w:hAnsi="Times New Roman"/>
          <w:b/>
          <w:sz w:val="20"/>
          <w:szCs w:val="20"/>
        </w:rPr>
        <w:t>76</w:t>
      </w:r>
      <w:r w:rsidRPr="008B5552">
        <w:rPr>
          <w:rFonts w:ascii="Times New Roman" w:hAnsi="Times New Roman"/>
          <w:b/>
          <w:sz w:val="20"/>
          <w:szCs w:val="20"/>
        </w:rPr>
        <w:t>.</w:t>
      </w:r>
      <w:r w:rsidR="00D57A44">
        <w:rPr>
          <w:rFonts w:ascii="Times New Roman" w:hAnsi="Times New Roman"/>
          <w:b/>
          <w:sz w:val="20"/>
          <w:szCs w:val="20"/>
        </w:rPr>
        <w:t>640</w:t>
      </w:r>
      <w:r w:rsidRPr="008B55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B5552">
        <w:rPr>
          <w:rFonts w:ascii="Times New Roman" w:hAnsi="Times New Roman"/>
          <w:b/>
          <w:sz w:val="20"/>
          <w:szCs w:val="20"/>
        </w:rPr>
        <w:t>eFt</w:t>
      </w:r>
      <w:proofErr w:type="spellEnd"/>
      <w:r w:rsidRPr="008B5552">
        <w:rPr>
          <w:rFonts w:ascii="Times New Roman" w:hAnsi="Times New Roman"/>
          <w:sz w:val="20"/>
          <w:szCs w:val="20"/>
        </w:rPr>
        <w:t xml:space="preserve"> pénzmaradvánnyal zártuk. </w:t>
      </w:r>
    </w:p>
    <w:p w:rsidR="00B242EC" w:rsidRPr="00DD4630" w:rsidRDefault="00B242EC" w:rsidP="00D44648">
      <w:pPr>
        <w:jc w:val="both"/>
        <w:rPr>
          <w:rFonts w:ascii="Times New Roman" w:hAnsi="Times New Roman"/>
          <w:sz w:val="20"/>
          <w:szCs w:val="20"/>
        </w:rPr>
      </w:pPr>
      <w:r w:rsidRPr="00DD4630">
        <w:rPr>
          <w:rFonts w:ascii="Times New Roman" w:hAnsi="Times New Roman"/>
          <w:sz w:val="20"/>
          <w:szCs w:val="20"/>
        </w:rPr>
        <w:t xml:space="preserve">Mivel ezt az összeget az alább felsorolt elkötelezettségek terhelik, a fennmaradó szabad pénzmaradvány </w:t>
      </w:r>
      <w:r w:rsidR="00DD4630" w:rsidRPr="00DD4630">
        <w:rPr>
          <w:rFonts w:ascii="Times New Roman" w:hAnsi="Times New Roman"/>
          <w:sz w:val="20"/>
          <w:szCs w:val="20"/>
        </w:rPr>
        <w:t>13.289</w:t>
      </w:r>
      <w:r w:rsidRPr="00DD46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4630">
        <w:rPr>
          <w:rFonts w:ascii="Times New Roman" w:hAnsi="Times New Roman"/>
          <w:sz w:val="20"/>
          <w:szCs w:val="20"/>
        </w:rPr>
        <w:t>eFt</w:t>
      </w:r>
      <w:proofErr w:type="spellEnd"/>
      <w:r w:rsidRPr="00DD4630">
        <w:rPr>
          <w:rFonts w:ascii="Times New Roman" w:hAnsi="Times New Roman"/>
          <w:sz w:val="20"/>
          <w:szCs w:val="20"/>
        </w:rPr>
        <w:t xml:space="preserve">, melyből általános tartalékként </w:t>
      </w:r>
      <w:r w:rsidR="007C37CF" w:rsidRPr="00DD4630">
        <w:rPr>
          <w:rFonts w:ascii="Times New Roman" w:hAnsi="Times New Roman"/>
          <w:sz w:val="20"/>
          <w:szCs w:val="20"/>
        </w:rPr>
        <w:t>10.</w:t>
      </w:r>
      <w:r w:rsidR="00DF1136">
        <w:rPr>
          <w:rFonts w:ascii="Times New Roman" w:hAnsi="Times New Roman"/>
          <w:sz w:val="20"/>
          <w:szCs w:val="20"/>
        </w:rPr>
        <w:t xml:space="preserve">146 </w:t>
      </w:r>
      <w:proofErr w:type="spellStart"/>
      <w:r w:rsidRPr="00DD4630">
        <w:rPr>
          <w:rFonts w:ascii="Times New Roman" w:hAnsi="Times New Roman"/>
          <w:sz w:val="20"/>
          <w:szCs w:val="20"/>
        </w:rPr>
        <w:t>eFt-ot</w:t>
      </w:r>
      <w:proofErr w:type="spellEnd"/>
      <w:r w:rsidRPr="00DD4630">
        <w:rPr>
          <w:rFonts w:ascii="Times New Roman" w:hAnsi="Times New Roman"/>
          <w:sz w:val="20"/>
          <w:szCs w:val="20"/>
        </w:rPr>
        <w:t xml:space="preserve"> tartalmaz az előterjesztés.</w:t>
      </w:r>
    </w:p>
    <w:p w:rsidR="00B242EC" w:rsidRPr="009E4E4A" w:rsidRDefault="00B242EC" w:rsidP="00D44648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7C37CF" w:rsidRDefault="00B242EC" w:rsidP="00D44648">
      <w:pPr>
        <w:pStyle w:val="Cmsor1"/>
        <w:rPr>
          <w:rFonts w:ascii="Times New Roman" w:hAnsi="Times New Roman"/>
          <w:b w:val="0"/>
          <w:sz w:val="20"/>
          <w:szCs w:val="20"/>
        </w:rPr>
      </w:pPr>
      <w:r w:rsidRPr="007C37CF">
        <w:rPr>
          <w:rFonts w:ascii="Times New Roman" w:hAnsi="Times New Roman"/>
          <w:b w:val="0"/>
          <w:sz w:val="20"/>
          <w:szCs w:val="20"/>
        </w:rPr>
        <w:t xml:space="preserve">A 2014. évi pénzmaradványt az alábbi elkötelezettségek terhelik: </w:t>
      </w:r>
    </w:p>
    <w:p w:rsidR="00B242EC" w:rsidRPr="007C37CF" w:rsidRDefault="00B242EC" w:rsidP="00D62F4A">
      <w:pPr>
        <w:jc w:val="both"/>
        <w:rPr>
          <w:rFonts w:ascii="Times New Roman" w:hAnsi="Times New Roman"/>
          <w:sz w:val="20"/>
          <w:szCs w:val="20"/>
        </w:rPr>
      </w:pPr>
      <w:r w:rsidRPr="007C37CF">
        <w:rPr>
          <w:rFonts w:ascii="Times New Roman" w:hAnsi="Times New Roman"/>
          <w:sz w:val="20"/>
          <w:szCs w:val="20"/>
        </w:rPr>
        <w:t>- óvoda 2014. évi gázdíj befizetése</w:t>
      </w:r>
      <w:proofErr w:type="gramStart"/>
      <w:r w:rsidRPr="007C37CF">
        <w:rPr>
          <w:rFonts w:ascii="Times New Roman" w:hAnsi="Times New Roman"/>
          <w:sz w:val="20"/>
          <w:szCs w:val="20"/>
        </w:rPr>
        <w:t>:                                 1</w:t>
      </w:r>
      <w:proofErr w:type="gramEnd"/>
      <w:r w:rsidRPr="007C37CF">
        <w:rPr>
          <w:rFonts w:ascii="Times New Roman" w:hAnsi="Times New Roman"/>
          <w:sz w:val="20"/>
          <w:szCs w:val="20"/>
        </w:rPr>
        <w:t xml:space="preserve">.432 </w:t>
      </w:r>
      <w:proofErr w:type="spellStart"/>
      <w:r w:rsidRPr="007C37CF">
        <w:rPr>
          <w:rFonts w:ascii="Times New Roman" w:hAnsi="Times New Roman"/>
          <w:sz w:val="20"/>
          <w:szCs w:val="20"/>
        </w:rPr>
        <w:t>eFt</w:t>
      </w:r>
      <w:proofErr w:type="spellEnd"/>
    </w:p>
    <w:p w:rsidR="00B242EC" w:rsidRPr="007C37CF" w:rsidRDefault="00B242EC" w:rsidP="00D62F4A">
      <w:pPr>
        <w:jc w:val="both"/>
        <w:rPr>
          <w:rFonts w:ascii="Times New Roman" w:hAnsi="Times New Roman"/>
          <w:sz w:val="20"/>
          <w:szCs w:val="20"/>
        </w:rPr>
      </w:pPr>
      <w:r w:rsidRPr="007C37CF">
        <w:rPr>
          <w:rFonts w:ascii="Times New Roman" w:hAnsi="Times New Roman"/>
          <w:sz w:val="20"/>
          <w:szCs w:val="20"/>
        </w:rPr>
        <w:t>- óvodai dolgozók 2014. évi számlavezetési díja</w:t>
      </w:r>
      <w:proofErr w:type="gramStart"/>
      <w:r w:rsidRPr="007C37CF">
        <w:rPr>
          <w:rFonts w:ascii="Times New Roman" w:hAnsi="Times New Roman"/>
          <w:sz w:val="20"/>
          <w:szCs w:val="20"/>
        </w:rPr>
        <w:t>:               200</w:t>
      </w:r>
      <w:proofErr w:type="gramEnd"/>
      <w:r w:rsidRPr="007C3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37CF">
        <w:rPr>
          <w:rFonts w:ascii="Times New Roman" w:hAnsi="Times New Roman"/>
          <w:sz w:val="20"/>
          <w:szCs w:val="20"/>
        </w:rPr>
        <w:t>eFt</w:t>
      </w:r>
      <w:proofErr w:type="spellEnd"/>
    </w:p>
    <w:p w:rsidR="00B242EC" w:rsidRPr="007C37CF" w:rsidRDefault="00B242EC" w:rsidP="00D62F4A">
      <w:pPr>
        <w:jc w:val="both"/>
        <w:rPr>
          <w:rFonts w:ascii="Times New Roman" w:hAnsi="Times New Roman"/>
          <w:sz w:val="20"/>
          <w:szCs w:val="20"/>
        </w:rPr>
      </w:pPr>
      <w:r w:rsidRPr="007C37CF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7C37CF">
        <w:rPr>
          <w:rFonts w:ascii="Times New Roman" w:hAnsi="Times New Roman"/>
          <w:sz w:val="20"/>
          <w:szCs w:val="20"/>
        </w:rPr>
        <w:t>Műv</w:t>
      </w:r>
      <w:proofErr w:type="spellEnd"/>
      <w:r w:rsidRPr="007C37CF">
        <w:rPr>
          <w:rFonts w:ascii="Times New Roman" w:hAnsi="Times New Roman"/>
          <w:sz w:val="20"/>
          <w:szCs w:val="20"/>
        </w:rPr>
        <w:t>. Ház (</w:t>
      </w:r>
      <w:r w:rsidR="007C37CF" w:rsidRPr="007C37CF">
        <w:rPr>
          <w:rFonts w:ascii="Times New Roman" w:hAnsi="Times New Roman"/>
          <w:sz w:val="20"/>
          <w:szCs w:val="20"/>
        </w:rPr>
        <w:t>szennyvízcsat. aknája</w:t>
      </w:r>
      <w:r w:rsidRPr="007C37CF">
        <w:rPr>
          <w:rFonts w:ascii="Times New Roman" w:hAnsi="Times New Roman"/>
          <w:sz w:val="20"/>
          <w:szCs w:val="20"/>
        </w:rPr>
        <w:t>)</w:t>
      </w:r>
      <w:proofErr w:type="gramStart"/>
      <w:r w:rsidRPr="007C37CF">
        <w:rPr>
          <w:rFonts w:ascii="Times New Roman" w:hAnsi="Times New Roman"/>
          <w:sz w:val="20"/>
          <w:szCs w:val="20"/>
        </w:rPr>
        <w:t>:                                    150</w:t>
      </w:r>
      <w:proofErr w:type="gramEnd"/>
      <w:r w:rsidRPr="007C37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37CF">
        <w:rPr>
          <w:rFonts w:ascii="Times New Roman" w:hAnsi="Times New Roman"/>
          <w:sz w:val="20"/>
          <w:szCs w:val="20"/>
        </w:rPr>
        <w:t>eFt</w:t>
      </w:r>
      <w:proofErr w:type="spellEnd"/>
    </w:p>
    <w:p w:rsidR="00B242EC" w:rsidRPr="007C37CF" w:rsidRDefault="00B242EC" w:rsidP="00D62F4A">
      <w:pPr>
        <w:jc w:val="both"/>
        <w:rPr>
          <w:rFonts w:ascii="Times New Roman" w:hAnsi="Times New Roman"/>
          <w:sz w:val="20"/>
          <w:szCs w:val="20"/>
        </w:rPr>
      </w:pPr>
      <w:r w:rsidRPr="007C37CF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7C37CF">
        <w:rPr>
          <w:rFonts w:ascii="Times New Roman" w:hAnsi="Times New Roman"/>
          <w:sz w:val="20"/>
          <w:szCs w:val="20"/>
        </w:rPr>
        <w:t>közfoglalkozt</w:t>
      </w:r>
      <w:proofErr w:type="spellEnd"/>
      <w:r w:rsidRPr="007C37CF">
        <w:rPr>
          <w:rFonts w:ascii="Times New Roman" w:hAnsi="Times New Roman"/>
          <w:sz w:val="20"/>
          <w:szCs w:val="20"/>
        </w:rPr>
        <w:t>. bér előlege</w:t>
      </w:r>
      <w:proofErr w:type="gramStart"/>
      <w:r w:rsidRPr="007C37CF">
        <w:rPr>
          <w:rFonts w:ascii="Times New Roman" w:hAnsi="Times New Roman"/>
          <w:sz w:val="20"/>
          <w:szCs w:val="20"/>
        </w:rPr>
        <w:t>:                                             1</w:t>
      </w:r>
      <w:proofErr w:type="gramEnd"/>
      <w:r w:rsidRPr="007C37CF">
        <w:rPr>
          <w:rFonts w:ascii="Times New Roman" w:hAnsi="Times New Roman"/>
          <w:sz w:val="20"/>
          <w:szCs w:val="20"/>
        </w:rPr>
        <w:t xml:space="preserve">.404 </w:t>
      </w:r>
      <w:proofErr w:type="spellStart"/>
      <w:r w:rsidRPr="007C37CF">
        <w:rPr>
          <w:rFonts w:ascii="Times New Roman" w:hAnsi="Times New Roman"/>
          <w:sz w:val="20"/>
          <w:szCs w:val="20"/>
        </w:rPr>
        <w:t>eFt</w:t>
      </w:r>
      <w:proofErr w:type="spellEnd"/>
    </w:p>
    <w:p w:rsidR="007C37CF" w:rsidRPr="007C37CF" w:rsidRDefault="00B242EC" w:rsidP="00D62F4A">
      <w:pPr>
        <w:jc w:val="both"/>
        <w:rPr>
          <w:rFonts w:ascii="Times New Roman" w:hAnsi="Times New Roman"/>
          <w:sz w:val="20"/>
          <w:szCs w:val="20"/>
        </w:rPr>
      </w:pPr>
      <w:r w:rsidRPr="007C37CF">
        <w:rPr>
          <w:rFonts w:ascii="Times New Roman" w:hAnsi="Times New Roman"/>
          <w:sz w:val="20"/>
          <w:szCs w:val="20"/>
        </w:rPr>
        <w:lastRenderedPageBreak/>
        <w:t xml:space="preserve">- szociális tűzifa </w:t>
      </w:r>
      <w:proofErr w:type="spellStart"/>
      <w:r w:rsidRPr="007C37CF">
        <w:rPr>
          <w:rFonts w:ascii="Times New Roman" w:hAnsi="Times New Roman"/>
          <w:sz w:val="20"/>
          <w:szCs w:val="20"/>
        </w:rPr>
        <w:t>pály</w:t>
      </w:r>
      <w:proofErr w:type="spellEnd"/>
      <w:proofErr w:type="gramStart"/>
      <w:r w:rsidRPr="007C37CF">
        <w:rPr>
          <w:rFonts w:ascii="Times New Roman" w:hAnsi="Times New Roman"/>
          <w:sz w:val="20"/>
          <w:szCs w:val="20"/>
        </w:rPr>
        <w:t>.:</w:t>
      </w:r>
      <w:proofErr w:type="gramEnd"/>
      <w:r w:rsidRPr="007C37CF">
        <w:rPr>
          <w:rFonts w:ascii="Times New Roman" w:hAnsi="Times New Roman"/>
          <w:sz w:val="20"/>
          <w:szCs w:val="20"/>
        </w:rPr>
        <w:t xml:space="preserve">                                                         605 </w:t>
      </w:r>
      <w:proofErr w:type="spellStart"/>
      <w:r w:rsidRPr="007C37CF">
        <w:rPr>
          <w:rFonts w:ascii="Times New Roman" w:hAnsi="Times New Roman"/>
          <w:sz w:val="20"/>
          <w:szCs w:val="20"/>
        </w:rPr>
        <w:t>eFt</w:t>
      </w:r>
      <w:proofErr w:type="spellEnd"/>
      <w:r w:rsidRPr="007C37CF">
        <w:rPr>
          <w:rFonts w:ascii="Times New Roman" w:hAnsi="Times New Roman"/>
          <w:sz w:val="20"/>
          <w:szCs w:val="20"/>
        </w:rPr>
        <w:t xml:space="preserve">  </w:t>
      </w:r>
    </w:p>
    <w:p w:rsidR="00B242EC" w:rsidRPr="007C37CF" w:rsidRDefault="007C37CF" w:rsidP="00D62F4A">
      <w:pPr>
        <w:jc w:val="both"/>
        <w:rPr>
          <w:rFonts w:ascii="Times New Roman" w:hAnsi="Times New Roman"/>
          <w:sz w:val="20"/>
          <w:szCs w:val="20"/>
        </w:rPr>
      </w:pPr>
      <w:r w:rsidRPr="007C37CF">
        <w:rPr>
          <w:rFonts w:ascii="Times New Roman" w:hAnsi="Times New Roman"/>
          <w:sz w:val="20"/>
          <w:szCs w:val="20"/>
        </w:rPr>
        <w:t>-2015. évi állami támogatás előleg</w:t>
      </w:r>
      <w:proofErr w:type="gramStart"/>
      <w:r w:rsidRPr="007C37CF">
        <w:rPr>
          <w:rFonts w:ascii="Times New Roman" w:hAnsi="Times New Roman"/>
          <w:sz w:val="20"/>
          <w:szCs w:val="20"/>
        </w:rPr>
        <w:t>:                                  4</w:t>
      </w:r>
      <w:proofErr w:type="gramEnd"/>
      <w:r w:rsidRPr="007C37CF">
        <w:rPr>
          <w:rFonts w:ascii="Times New Roman" w:hAnsi="Times New Roman"/>
          <w:sz w:val="20"/>
          <w:szCs w:val="20"/>
        </w:rPr>
        <w:t xml:space="preserve">.856 </w:t>
      </w:r>
      <w:proofErr w:type="spellStart"/>
      <w:r w:rsidRPr="007C37CF">
        <w:rPr>
          <w:rFonts w:ascii="Times New Roman" w:hAnsi="Times New Roman"/>
          <w:sz w:val="20"/>
          <w:szCs w:val="20"/>
        </w:rPr>
        <w:t>eFt</w:t>
      </w:r>
      <w:proofErr w:type="spellEnd"/>
      <w:r w:rsidRPr="007C37CF">
        <w:rPr>
          <w:rFonts w:ascii="Times New Roman" w:hAnsi="Times New Roman"/>
          <w:sz w:val="20"/>
          <w:szCs w:val="20"/>
        </w:rPr>
        <w:t xml:space="preserve"> </w:t>
      </w:r>
      <w:r w:rsidR="00B242EC" w:rsidRPr="007C37CF">
        <w:rPr>
          <w:rFonts w:ascii="Times New Roman" w:hAnsi="Times New Roman"/>
          <w:sz w:val="20"/>
          <w:szCs w:val="20"/>
        </w:rPr>
        <w:t xml:space="preserve">  </w:t>
      </w:r>
    </w:p>
    <w:p w:rsidR="00B242EC" w:rsidRPr="007C37CF" w:rsidRDefault="00B242EC" w:rsidP="00D62F4A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7C37CF">
        <w:rPr>
          <w:rFonts w:ascii="Times New Roman" w:hAnsi="Times New Roman"/>
          <w:sz w:val="20"/>
          <w:szCs w:val="20"/>
          <w:u w:val="single"/>
        </w:rPr>
        <w:t>- normatíva visszafizetés (2013. évi)</w:t>
      </w:r>
      <w:proofErr w:type="gramStart"/>
      <w:r w:rsidRPr="007C37CF">
        <w:rPr>
          <w:rFonts w:ascii="Times New Roman" w:hAnsi="Times New Roman"/>
          <w:sz w:val="20"/>
          <w:szCs w:val="20"/>
          <w:u w:val="single"/>
        </w:rPr>
        <w:t xml:space="preserve">:                           </w:t>
      </w:r>
      <w:r w:rsidR="007C37CF" w:rsidRPr="007C37C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C37CF">
        <w:rPr>
          <w:rFonts w:ascii="Times New Roman" w:hAnsi="Times New Roman"/>
          <w:sz w:val="20"/>
          <w:szCs w:val="20"/>
          <w:u w:val="single"/>
        </w:rPr>
        <w:t xml:space="preserve">   2</w:t>
      </w:r>
      <w:proofErr w:type="gramEnd"/>
      <w:r w:rsidRPr="007C37CF">
        <w:rPr>
          <w:rFonts w:ascii="Times New Roman" w:hAnsi="Times New Roman"/>
          <w:sz w:val="20"/>
          <w:szCs w:val="20"/>
          <w:u w:val="single"/>
        </w:rPr>
        <w:t xml:space="preserve">.750 </w:t>
      </w:r>
      <w:proofErr w:type="spellStart"/>
      <w:r w:rsidRPr="007C37CF">
        <w:rPr>
          <w:rFonts w:ascii="Times New Roman" w:hAnsi="Times New Roman"/>
          <w:sz w:val="20"/>
          <w:szCs w:val="20"/>
          <w:u w:val="single"/>
        </w:rPr>
        <w:t>eFt</w:t>
      </w:r>
      <w:proofErr w:type="spellEnd"/>
    </w:p>
    <w:p w:rsidR="00B242EC" w:rsidRPr="007C37CF" w:rsidRDefault="00B242EC" w:rsidP="00D44648">
      <w:pPr>
        <w:jc w:val="both"/>
        <w:rPr>
          <w:rFonts w:ascii="Times New Roman" w:hAnsi="Times New Roman"/>
          <w:b/>
          <w:sz w:val="20"/>
          <w:szCs w:val="20"/>
        </w:rPr>
      </w:pPr>
      <w:r w:rsidRPr="007C37CF">
        <w:rPr>
          <w:rFonts w:ascii="Times New Roman" w:hAnsi="Times New Roman"/>
          <w:b/>
          <w:sz w:val="20"/>
          <w:szCs w:val="20"/>
        </w:rPr>
        <w:t>Összesen</w:t>
      </w:r>
      <w:proofErr w:type="gramStart"/>
      <w:r w:rsidRPr="007C37CF">
        <w:rPr>
          <w:rFonts w:ascii="Times New Roman" w:hAnsi="Times New Roman"/>
          <w:b/>
          <w:sz w:val="20"/>
          <w:szCs w:val="20"/>
        </w:rPr>
        <w:t xml:space="preserve">:                                                                        </w:t>
      </w:r>
      <w:r w:rsidR="007C37CF" w:rsidRPr="007C37CF">
        <w:rPr>
          <w:rFonts w:ascii="Times New Roman" w:hAnsi="Times New Roman"/>
          <w:b/>
          <w:sz w:val="20"/>
          <w:szCs w:val="20"/>
        </w:rPr>
        <w:t>11</w:t>
      </w:r>
      <w:proofErr w:type="gramEnd"/>
      <w:r w:rsidR="007C37CF" w:rsidRPr="007C37CF">
        <w:rPr>
          <w:rFonts w:ascii="Times New Roman" w:hAnsi="Times New Roman"/>
          <w:b/>
          <w:sz w:val="20"/>
          <w:szCs w:val="20"/>
        </w:rPr>
        <w:t>.397</w:t>
      </w:r>
      <w:r w:rsidRPr="007C37CF">
        <w:rPr>
          <w:rFonts w:ascii="Times New Roman" w:hAnsi="Times New Roman"/>
          <w:b/>
          <w:sz w:val="20"/>
          <w:szCs w:val="20"/>
        </w:rPr>
        <w:t xml:space="preserve">eFt          </w:t>
      </w:r>
    </w:p>
    <w:p w:rsidR="00B242EC" w:rsidRPr="007C37CF" w:rsidRDefault="00B242EC" w:rsidP="00D44648">
      <w:pPr>
        <w:jc w:val="both"/>
        <w:rPr>
          <w:rFonts w:ascii="Times New Roman" w:hAnsi="Times New Roman"/>
          <w:b/>
          <w:sz w:val="20"/>
          <w:szCs w:val="20"/>
        </w:rPr>
      </w:pPr>
    </w:p>
    <w:p w:rsidR="00B242EC" w:rsidRPr="005867D2" w:rsidRDefault="00B242EC" w:rsidP="00D44648">
      <w:pPr>
        <w:jc w:val="both"/>
        <w:rPr>
          <w:rFonts w:ascii="Times New Roman" w:hAnsi="Times New Roman"/>
          <w:sz w:val="20"/>
          <w:szCs w:val="20"/>
        </w:rPr>
      </w:pPr>
      <w:r w:rsidRPr="005867D2">
        <w:rPr>
          <w:rFonts w:ascii="Times New Roman" w:hAnsi="Times New Roman"/>
          <w:sz w:val="20"/>
          <w:szCs w:val="20"/>
        </w:rPr>
        <w:t xml:space="preserve">Szintén a 2014. évi pénzmaradvány terhére került beépítésre a fejlesztések közé a Hivatal felújítás pályázati összege </w:t>
      </w:r>
      <w:r w:rsidRPr="005867D2">
        <w:rPr>
          <w:rFonts w:ascii="Times New Roman" w:hAnsi="Times New Roman"/>
          <w:b/>
          <w:sz w:val="20"/>
          <w:szCs w:val="20"/>
        </w:rPr>
        <w:t>(43.</w:t>
      </w:r>
      <w:r w:rsidR="00D46049" w:rsidRPr="005867D2">
        <w:rPr>
          <w:rFonts w:ascii="Times New Roman" w:hAnsi="Times New Roman"/>
          <w:b/>
          <w:sz w:val="20"/>
          <w:szCs w:val="20"/>
        </w:rPr>
        <w:t>254</w:t>
      </w:r>
      <w:r w:rsidRPr="005867D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867D2">
        <w:rPr>
          <w:rFonts w:ascii="Times New Roman" w:hAnsi="Times New Roman"/>
          <w:b/>
          <w:sz w:val="20"/>
          <w:szCs w:val="20"/>
        </w:rPr>
        <w:t>eFt</w:t>
      </w:r>
      <w:proofErr w:type="spellEnd"/>
      <w:r w:rsidRPr="005867D2">
        <w:rPr>
          <w:rFonts w:ascii="Times New Roman" w:hAnsi="Times New Roman"/>
          <w:b/>
          <w:sz w:val="20"/>
          <w:szCs w:val="20"/>
        </w:rPr>
        <w:t>)</w:t>
      </w:r>
      <w:r w:rsidRPr="005867D2">
        <w:rPr>
          <w:rFonts w:ascii="Times New Roman" w:hAnsi="Times New Roman"/>
          <w:sz w:val="20"/>
          <w:szCs w:val="20"/>
        </w:rPr>
        <w:t xml:space="preserve">, valamint a Vis Maior pályázatból 2014-ben megérkezett és fel nem használt összeg </w:t>
      </w:r>
      <w:r w:rsidRPr="005867D2">
        <w:rPr>
          <w:rFonts w:ascii="Times New Roman" w:hAnsi="Times New Roman"/>
          <w:b/>
          <w:sz w:val="20"/>
          <w:szCs w:val="20"/>
        </w:rPr>
        <w:t xml:space="preserve">(8.700 </w:t>
      </w:r>
      <w:proofErr w:type="spellStart"/>
      <w:r w:rsidRPr="005867D2">
        <w:rPr>
          <w:rFonts w:ascii="Times New Roman" w:hAnsi="Times New Roman"/>
          <w:b/>
          <w:sz w:val="20"/>
          <w:szCs w:val="20"/>
        </w:rPr>
        <w:t>eFt</w:t>
      </w:r>
      <w:proofErr w:type="spellEnd"/>
      <w:r w:rsidRPr="005867D2">
        <w:rPr>
          <w:rFonts w:ascii="Times New Roman" w:hAnsi="Times New Roman"/>
          <w:b/>
          <w:sz w:val="20"/>
          <w:szCs w:val="20"/>
        </w:rPr>
        <w:t>)</w:t>
      </w:r>
      <w:r w:rsidRPr="005867D2">
        <w:rPr>
          <w:rFonts w:ascii="Times New Roman" w:hAnsi="Times New Roman"/>
          <w:sz w:val="20"/>
          <w:szCs w:val="20"/>
        </w:rPr>
        <w:t xml:space="preserve">.                                                                  </w:t>
      </w:r>
    </w:p>
    <w:p w:rsidR="00B242EC" w:rsidRPr="009E4E4A" w:rsidRDefault="00B242EC" w:rsidP="0040588A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Pr="00845A58" w:rsidRDefault="00B242EC" w:rsidP="0040588A">
      <w:pPr>
        <w:jc w:val="both"/>
        <w:rPr>
          <w:rFonts w:ascii="Times New Roman" w:hAnsi="Times New Roman"/>
          <w:b/>
          <w:szCs w:val="22"/>
        </w:rPr>
      </w:pPr>
      <w:r w:rsidRPr="00845A58">
        <w:rPr>
          <w:rFonts w:ascii="Times New Roman" w:hAnsi="Times New Roman"/>
          <w:b/>
          <w:szCs w:val="22"/>
        </w:rPr>
        <w:t xml:space="preserve">2. Kiadások </w:t>
      </w:r>
    </w:p>
    <w:p w:rsidR="00B242EC" w:rsidRPr="009E4E4A" w:rsidRDefault="00B242EC" w:rsidP="0040588A">
      <w:pPr>
        <w:pStyle w:val="Cmsor1"/>
        <w:rPr>
          <w:rFonts w:ascii="Times New Roman" w:hAnsi="Times New Roman"/>
          <w:b w:val="0"/>
          <w:i/>
          <w:sz w:val="24"/>
          <w:highlight w:val="yellow"/>
        </w:rPr>
      </w:pPr>
    </w:p>
    <w:p w:rsidR="00B242EC" w:rsidRPr="001A1BBC" w:rsidRDefault="00B242E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1A1BBC">
        <w:rPr>
          <w:rFonts w:ascii="Times New Roman" w:hAnsi="Times New Roman"/>
          <w:b w:val="0"/>
          <w:i/>
          <w:sz w:val="20"/>
          <w:szCs w:val="20"/>
        </w:rPr>
        <w:t>Személyi juttatások, járulékok (I.5</w:t>
      </w:r>
      <w:proofErr w:type="gramStart"/>
      <w:r w:rsidRPr="001A1BBC">
        <w:rPr>
          <w:rFonts w:ascii="Times New Roman" w:hAnsi="Times New Roman"/>
          <w:b w:val="0"/>
          <w:i/>
          <w:sz w:val="20"/>
          <w:szCs w:val="20"/>
        </w:rPr>
        <w:t>.  melléklet</w:t>
      </w:r>
      <w:proofErr w:type="gramEnd"/>
      <w:r w:rsidRPr="001A1BBC">
        <w:rPr>
          <w:rFonts w:ascii="Times New Roman" w:hAnsi="Times New Roman"/>
          <w:b w:val="0"/>
          <w:i/>
          <w:sz w:val="20"/>
          <w:szCs w:val="20"/>
        </w:rPr>
        <w:t>)</w:t>
      </w:r>
    </w:p>
    <w:p w:rsidR="00B242EC" w:rsidRPr="009E4E4A" w:rsidRDefault="00B242EC" w:rsidP="00D0114E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D2968" w:rsidRPr="00BE42AE" w:rsidRDefault="00B242EC" w:rsidP="00BE42AE">
      <w:pPr>
        <w:jc w:val="both"/>
        <w:rPr>
          <w:rFonts w:ascii="Times New Roman" w:hAnsi="Times New Roman"/>
          <w:sz w:val="20"/>
          <w:szCs w:val="20"/>
        </w:rPr>
      </w:pPr>
      <w:r w:rsidRPr="004F53F9">
        <w:rPr>
          <w:rFonts w:ascii="Times New Roman" w:hAnsi="Times New Roman"/>
          <w:color w:val="000000"/>
          <w:sz w:val="20"/>
          <w:szCs w:val="20"/>
        </w:rPr>
        <w:t xml:space="preserve">Személyi juttatásként és munkaadót terhelő befizetésként az önkormányzat költségvetése az alábbi bér és járulék költségeket tartalmazza: </w:t>
      </w:r>
      <w:r w:rsidRPr="004F53F9">
        <w:rPr>
          <w:rFonts w:ascii="Times New Roman" w:hAnsi="Times New Roman"/>
          <w:i/>
          <w:color w:val="000000"/>
          <w:sz w:val="20"/>
          <w:szCs w:val="20"/>
        </w:rPr>
        <w:t>igazgatás:</w:t>
      </w:r>
      <w:r w:rsidRPr="004F53F9">
        <w:rPr>
          <w:rFonts w:ascii="Times New Roman" w:hAnsi="Times New Roman"/>
          <w:color w:val="000000"/>
          <w:sz w:val="20"/>
          <w:szCs w:val="20"/>
        </w:rPr>
        <w:t xml:space="preserve"> polgármester illetménye, </w:t>
      </w:r>
      <w:r w:rsidRPr="004F53F9">
        <w:rPr>
          <w:rFonts w:ascii="Times New Roman" w:hAnsi="Times New Roman"/>
          <w:sz w:val="20"/>
          <w:szCs w:val="20"/>
        </w:rPr>
        <w:t xml:space="preserve">képviselők tiszteletdíja; </w:t>
      </w:r>
      <w:r w:rsidRPr="004F53F9">
        <w:rPr>
          <w:rFonts w:ascii="Times New Roman" w:hAnsi="Times New Roman"/>
          <w:i/>
          <w:sz w:val="20"/>
          <w:szCs w:val="20"/>
        </w:rPr>
        <w:t>községgazdálkodás:</w:t>
      </w:r>
      <w:r w:rsidRPr="004F53F9">
        <w:rPr>
          <w:rFonts w:ascii="Times New Roman" w:hAnsi="Times New Roman"/>
          <w:color w:val="000000"/>
          <w:sz w:val="20"/>
          <w:szCs w:val="20"/>
        </w:rPr>
        <w:t xml:space="preserve"> fizikai állományú </w:t>
      </w:r>
      <w:r w:rsidRPr="004F53F9">
        <w:rPr>
          <w:rFonts w:ascii="Times New Roman" w:hAnsi="Times New Roman"/>
          <w:sz w:val="20"/>
          <w:szCs w:val="20"/>
        </w:rPr>
        <w:t>dolgozók (karbantartók);</w:t>
      </w:r>
      <w:r w:rsidRPr="004F53F9">
        <w:rPr>
          <w:rFonts w:ascii="Times New Roman" w:hAnsi="Times New Roman"/>
          <w:i/>
          <w:sz w:val="20"/>
          <w:szCs w:val="20"/>
        </w:rPr>
        <w:t xml:space="preserve"> közfoglalkoztatás</w:t>
      </w:r>
      <w:r w:rsidRPr="004F53F9">
        <w:rPr>
          <w:rFonts w:ascii="Times New Roman" w:hAnsi="Times New Roman"/>
          <w:sz w:val="20"/>
          <w:szCs w:val="20"/>
        </w:rPr>
        <w:t xml:space="preserve">: önerő összege; </w:t>
      </w:r>
      <w:r w:rsidRPr="004F53F9">
        <w:rPr>
          <w:rFonts w:ascii="Times New Roman" w:hAnsi="Times New Roman"/>
          <w:i/>
          <w:sz w:val="20"/>
          <w:szCs w:val="20"/>
        </w:rPr>
        <w:t>iskolai étkeztetés</w:t>
      </w:r>
      <w:r w:rsidRPr="004F53F9">
        <w:rPr>
          <w:rFonts w:ascii="Times New Roman" w:hAnsi="Times New Roman"/>
          <w:sz w:val="20"/>
          <w:szCs w:val="20"/>
        </w:rPr>
        <w:t xml:space="preserve">: </w:t>
      </w:r>
      <w:r w:rsidRPr="004F53F9">
        <w:rPr>
          <w:rFonts w:ascii="Times New Roman" w:hAnsi="Times New Roman"/>
          <w:color w:val="000000"/>
          <w:sz w:val="20"/>
          <w:szCs w:val="20"/>
        </w:rPr>
        <w:t xml:space="preserve">fizikai állományú </w:t>
      </w:r>
      <w:r w:rsidRPr="004F53F9">
        <w:rPr>
          <w:rFonts w:ascii="Times New Roman" w:hAnsi="Times New Roman"/>
          <w:sz w:val="20"/>
          <w:szCs w:val="20"/>
        </w:rPr>
        <w:t xml:space="preserve">dolgozó; </w:t>
      </w:r>
      <w:r w:rsidRPr="004F53F9">
        <w:rPr>
          <w:rFonts w:ascii="Times New Roman" w:hAnsi="Times New Roman"/>
          <w:i/>
          <w:sz w:val="20"/>
          <w:szCs w:val="20"/>
        </w:rPr>
        <w:t>óvodai étkeztetés</w:t>
      </w:r>
      <w:r w:rsidRPr="004F53F9">
        <w:rPr>
          <w:rFonts w:ascii="Times New Roman" w:hAnsi="Times New Roman"/>
          <w:sz w:val="20"/>
          <w:szCs w:val="20"/>
        </w:rPr>
        <w:t xml:space="preserve">: </w:t>
      </w:r>
      <w:r w:rsidRPr="004F53F9">
        <w:rPr>
          <w:rFonts w:ascii="Times New Roman" w:hAnsi="Times New Roman"/>
          <w:color w:val="000000"/>
          <w:sz w:val="20"/>
          <w:szCs w:val="20"/>
        </w:rPr>
        <w:t xml:space="preserve">fizikai állományú </w:t>
      </w:r>
      <w:r w:rsidRPr="004F53F9">
        <w:rPr>
          <w:rFonts w:ascii="Times New Roman" w:hAnsi="Times New Roman"/>
          <w:sz w:val="20"/>
          <w:szCs w:val="20"/>
        </w:rPr>
        <w:t>dolgozó;</w:t>
      </w:r>
      <w:r w:rsidRPr="004F53F9">
        <w:rPr>
          <w:rFonts w:ascii="Times New Roman" w:hAnsi="Times New Roman"/>
          <w:i/>
          <w:sz w:val="20"/>
          <w:szCs w:val="20"/>
        </w:rPr>
        <w:t xml:space="preserve"> védőnői szakfeladat.</w:t>
      </w:r>
      <w:r w:rsidRPr="004F53F9">
        <w:rPr>
          <w:rFonts w:ascii="Times New Roman" w:hAnsi="Times New Roman"/>
          <w:sz w:val="20"/>
          <w:szCs w:val="20"/>
        </w:rPr>
        <w:t xml:space="preserve"> A bértömeg a törvény által kötelezően előírt emelést tartalmazza (minimálbér illetve ga</w:t>
      </w:r>
      <w:r>
        <w:rPr>
          <w:rFonts w:ascii="Times New Roman" w:hAnsi="Times New Roman"/>
          <w:sz w:val="20"/>
          <w:szCs w:val="20"/>
        </w:rPr>
        <w:t>rantált bérminimum emelkedése)</w:t>
      </w:r>
      <w:r w:rsidR="007C1940">
        <w:rPr>
          <w:rFonts w:ascii="Times New Roman" w:hAnsi="Times New Roman"/>
          <w:sz w:val="20"/>
          <w:szCs w:val="20"/>
        </w:rPr>
        <w:t>, illetve a dolgozók számlavezetési díját (1.000 Ft/fő/hó)</w:t>
      </w:r>
      <w:r>
        <w:rPr>
          <w:rFonts w:ascii="Times New Roman" w:hAnsi="Times New Roman"/>
          <w:sz w:val="20"/>
          <w:szCs w:val="20"/>
        </w:rPr>
        <w:t>.</w:t>
      </w:r>
      <w:r w:rsidR="004D2968" w:rsidRPr="00BE42AE">
        <w:rPr>
          <w:rFonts w:ascii="Times New Roman" w:hAnsi="Times New Roman"/>
          <w:sz w:val="20"/>
          <w:szCs w:val="20"/>
        </w:rPr>
        <w:t xml:space="preserve">         </w:t>
      </w:r>
    </w:p>
    <w:p w:rsidR="00B242EC" w:rsidRPr="009E4E4A" w:rsidRDefault="00B242EC" w:rsidP="00D50839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D70AB3" w:rsidRDefault="00B242E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D70AB3">
        <w:rPr>
          <w:rFonts w:ascii="Times New Roman" w:hAnsi="Times New Roman"/>
          <w:b w:val="0"/>
          <w:i/>
          <w:sz w:val="20"/>
          <w:szCs w:val="20"/>
        </w:rPr>
        <w:t xml:space="preserve"> Dologi kiadások</w:t>
      </w:r>
    </w:p>
    <w:p w:rsidR="00B242EC" w:rsidRPr="009E4E4A" w:rsidRDefault="00B242EC" w:rsidP="0040588A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72383E" w:rsidRDefault="00B242EC" w:rsidP="0040588A">
      <w:pPr>
        <w:jc w:val="both"/>
        <w:rPr>
          <w:rFonts w:ascii="Times New Roman" w:hAnsi="Times New Roman"/>
          <w:sz w:val="20"/>
          <w:szCs w:val="20"/>
        </w:rPr>
      </w:pPr>
      <w:r w:rsidRPr="0072383E">
        <w:rPr>
          <w:rFonts w:ascii="Times New Roman" w:hAnsi="Times New Roman"/>
          <w:sz w:val="20"/>
          <w:szCs w:val="20"/>
        </w:rPr>
        <w:t xml:space="preserve">Az önkormányzat dologi kiadásait a tavalyival közel azonos szinten terveztük. Kivételt képez az </w:t>
      </w:r>
      <w:r w:rsidRPr="0072383E">
        <w:rPr>
          <w:rFonts w:ascii="Times New Roman" w:hAnsi="Times New Roman"/>
          <w:i/>
          <w:sz w:val="20"/>
          <w:szCs w:val="20"/>
        </w:rPr>
        <w:t>igazgatás</w:t>
      </w:r>
      <w:r w:rsidRPr="0072383E">
        <w:rPr>
          <w:rFonts w:ascii="Times New Roman" w:hAnsi="Times New Roman"/>
          <w:sz w:val="20"/>
          <w:szCs w:val="20"/>
        </w:rPr>
        <w:t>,</w:t>
      </w:r>
      <w:r w:rsidR="00030140" w:rsidRPr="0072383E">
        <w:rPr>
          <w:rFonts w:ascii="Times New Roman" w:hAnsi="Times New Roman"/>
          <w:sz w:val="20"/>
          <w:szCs w:val="20"/>
        </w:rPr>
        <w:t xml:space="preserve"> ahol az energia és bankköltségek emelkedésével számoltunk, valamint</w:t>
      </w:r>
      <w:r w:rsidRPr="0072383E">
        <w:rPr>
          <w:rFonts w:ascii="Times New Roman" w:hAnsi="Times New Roman"/>
          <w:sz w:val="20"/>
          <w:szCs w:val="20"/>
        </w:rPr>
        <w:t xml:space="preserve"> a </w:t>
      </w:r>
      <w:r w:rsidRPr="0072383E">
        <w:rPr>
          <w:rFonts w:ascii="Times New Roman" w:hAnsi="Times New Roman"/>
          <w:i/>
          <w:sz w:val="20"/>
          <w:szCs w:val="20"/>
        </w:rPr>
        <w:t>rendezvény</w:t>
      </w:r>
      <w:r w:rsidRPr="0072383E">
        <w:rPr>
          <w:rFonts w:ascii="Times New Roman" w:hAnsi="Times New Roman"/>
          <w:sz w:val="20"/>
          <w:szCs w:val="20"/>
        </w:rPr>
        <w:t xml:space="preserve"> kormányzati funkció</w:t>
      </w:r>
      <w:r w:rsidR="00C25BA1" w:rsidRPr="0072383E">
        <w:rPr>
          <w:rFonts w:ascii="Times New Roman" w:hAnsi="Times New Roman"/>
          <w:sz w:val="20"/>
          <w:szCs w:val="20"/>
        </w:rPr>
        <w:t>.</w:t>
      </w:r>
      <w:r w:rsidRPr="0072383E">
        <w:rPr>
          <w:rFonts w:ascii="Times New Roman" w:hAnsi="Times New Roman"/>
          <w:sz w:val="20"/>
          <w:szCs w:val="20"/>
        </w:rPr>
        <w:t xml:space="preserve"> Az előterjesztés nem tartalmaz adatot a Tisztítóművel kapcsolatos kiadásokról.</w:t>
      </w:r>
    </w:p>
    <w:p w:rsidR="00B242EC" w:rsidRPr="0072383E" w:rsidRDefault="00B242EC" w:rsidP="00E149FA">
      <w:pPr>
        <w:rPr>
          <w:sz w:val="20"/>
          <w:szCs w:val="20"/>
        </w:rPr>
      </w:pPr>
    </w:p>
    <w:p w:rsidR="00B242EC" w:rsidRPr="0061675D" w:rsidRDefault="00B242E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61675D">
        <w:rPr>
          <w:rFonts w:ascii="Times New Roman" w:hAnsi="Times New Roman"/>
          <w:b w:val="0"/>
          <w:i/>
          <w:sz w:val="20"/>
          <w:szCs w:val="20"/>
        </w:rPr>
        <w:t xml:space="preserve"> Segélyek (I.6. melléklet) </w:t>
      </w:r>
    </w:p>
    <w:p w:rsidR="00B242EC" w:rsidRDefault="00B242EC" w:rsidP="0061675D">
      <w:pPr>
        <w:pStyle w:val="Default"/>
      </w:pPr>
    </w:p>
    <w:p w:rsidR="00B242EC" w:rsidRPr="00266038" w:rsidRDefault="00B242EC" w:rsidP="00533225">
      <w:pPr>
        <w:jc w:val="both"/>
        <w:rPr>
          <w:rFonts w:ascii="Times New Roman" w:hAnsi="Times New Roman"/>
          <w:sz w:val="20"/>
          <w:szCs w:val="20"/>
        </w:rPr>
      </w:pPr>
      <w:r w:rsidRPr="00266038">
        <w:rPr>
          <w:rFonts w:ascii="Times New Roman" w:hAnsi="Times New Roman"/>
          <w:sz w:val="20"/>
          <w:szCs w:val="20"/>
        </w:rPr>
        <w:t xml:space="preserve">A pénzbeli és természetbeni szociális ellátások rendszere 2015. évben jelentős mértékben átalakul. </w:t>
      </w:r>
    </w:p>
    <w:p w:rsidR="00B242EC" w:rsidRDefault="00B242EC" w:rsidP="0061675D">
      <w:pPr>
        <w:pStyle w:val="Default"/>
        <w:rPr>
          <w:sz w:val="23"/>
          <w:szCs w:val="23"/>
        </w:rPr>
      </w:pPr>
    </w:p>
    <w:p w:rsidR="00533225" w:rsidRDefault="00690565" w:rsidP="00C22A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2014-ben a</w:t>
      </w:r>
      <w:r w:rsidR="00B242EC" w:rsidRPr="00C22A03">
        <w:rPr>
          <w:rFonts w:ascii="Times New Roman" w:hAnsi="Times New Roman"/>
          <w:sz w:val="20"/>
          <w:szCs w:val="20"/>
        </w:rPr>
        <w:t xml:space="preserve"> jegyzői hatáskörben lévő aktív ko</w:t>
      </w:r>
      <w:r>
        <w:rPr>
          <w:rFonts w:ascii="Times New Roman" w:hAnsi="Times New Roman"/>
          <w:sz w:val="20"/>
          <w:szCs w:val="20"/>
        </w:rPr>
        <w:t>rúak ellátásának megállapítása</w:t>
      </w:r>
      <w:r w:rsidR="0042283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2015-ben a</w:t>
      </w:r>
      <w:r w:rsidR="00B242EC" w:rsidRPr="00C22A03">
        <w:rPr>
          <w:rFonts w:ascii="Times New Roman" w:hAnsi="Times New Roman"/>
          <w:sz w:val="20"/>
          <w:szCs w:val="20"/>
        </w:rPr>
        <w:t xml:space="preserve"> járási hivatal hatáskörébe kerül </w:t>
      </w:r>
      <w:r w:rsidR="00422839">
        <w:rPr>
          <w:rFonts w:ascii="Times New Roman" w:hAnsi="Times New Roman"/>
          <w:sz w:val="20"/>
          <w:szCs w:val="20"/>
        </w:rPr>
        <w:t>(</w:t>
      </w:r>
      <w:r w:rsidR="00B242EC" w:rsidRPr="00C22A03">
        <w:rPr>
          <w:rFonts w:ascii="Times New Roman" w:hAnsi="Times New Roman"/>
          <w:sz w:val="20"/>
          <w:szCs w:val="20"/>
        </w:rPr>
        <w:t>foglalkoztatást helyettesítő támogatás</w:t>
      </w:r>
      <w:r w:rsidR="00422839">
        <w:rPr>
          <w:rFonts w:ascii="Times New Roman" w:hAnsi="Times New Roman"/>
          <w:sz w:val="20"/>
          <w:szCs w:val="20"/>
        </w:rPr>
        <w:t>,</w:t>
      </w:r>
      <w:r w:rsidR="00422839" w:rsidRPr="00422839">
        <w:rPr>
          <w:rFonts w:ascii="Times New Roman" w:hAnsi="Times New Roman"/>
          <w:sz w:val="20"/>
          <w:szCs w:val="20"/>
        </w:rPr>
        <w:t xml:space="preserve"> </w:t>
      </w:r>
      <w:r w:rsidR="00422839" w:rsidRPr="00C22A03">
        <w:rPr>
          <w:rFonts w:ascii="Times New Roman" w:hAnsi="Times New Roman"/>
          <w:sz w:val="20"/>
          <w:szCs w:val="20"/>
        </w:rPr>
        <w:t>egészségkárosodási és gyermekfelügyeleti támogatás</w:t>
      </w:r>
      <w:r w:rsidR="00422839">
        <w:rPr>
          <w:rFonts w:ascii="Times New Roman" w:hAnsi="Times New Roman"/>
          <w:sz w:val="20"/>
          <w:szCs w:val="20"/>
        </w:rPr>
        <w:t>)</w:t>
      </w:r>
      <w:r w:rsidR="00533225">
        <w:rPr>
          <w:rFonts w:ascii="Times New Roman" w:hAnsi="Times New Roman"/>
          <w:sz w:val="20"/>
          <w:szCs w:val="20"/>
        </w:rPr>
        <w:t>,</w:t>
      </w:r>
      <w:r w:rsidR="00B242EC" w:rsidRPr="00C22A03">
        <w:rPr>
          <w:rFonts w:ascii="Times New Roman" w:hAnsi="Times New Roman"/>
          <w:sz w:val="20"/>
          <w:szCs w:val="20"/>
        </w:rPr>
        <w:t xml:space="preserve"> és 100%-ban központi költségvetési forrásból </w:t>
      </w:r>
      <w:r w:rsidR="00533225">
        <w:rPr>
          <w:rFonts w:ascii="Times New Roman" w:hAnsi="Times New Roman"/>
          <w:sz w:val="20"/>
          <w:szCs w:val="20"/>
        </w:rPr>
        <w:t>kerül kifizetésre. Eddig ezekhez a támogatásokhoz az önkormányzat is hozzájárult, általában 10%-os önerővel.</w:t>
      </w:r>
    </w:p>
    <w:p w:rsidR="00B242EC" w:rsidRPr="00C22A03" w:rsidRDefault="00533225" w:rsidP="00C22A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Más</w:t>
      </w:r>
      <w:r w:rsidR="00B242EC" w:rsidRPr="00C22A03">
        <w:rPr>
          <w:rFonts w:ascii="Times New Roman" w:hAnsi="Times New Roman"/>
          <w:sz w:val="20"/>
          <w:szCs w:val="20"/>
        </w:rPr>
        <w:t xml:space="preserve"> ellátások nyújtásáról, jogosultsági feltételeiről az önkormányzatok döntenek az ún. települési támogatás keretében</w:t>
      </w:r>
      <w:r>
        <w:rPr>
          <w:rFonts w:ascii="Times New Roman" w:hAnsi="Times New Roman"/>
          <w:sz w:val="20"/>
          <w:szCs w:val="20"/>
        </w:rPr>
        <w:t xml:space="preserve"> (pl. lakhatással kapcsolatos támogatás)</w:t>
      </w:r>
      <w:r w:rsidR="00B242EC" w:rsidRPr="00C22A0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Az ily módon megállapított és kifizetett szociális ellátások </w:t>
      </w:r>
      <w:r w:rsidR="006639FC">
        <w:rPr>
          <w:rFonts w:ascii="Times New Roman" w:hAnsi="Times New Roman"/>
          <w:sz w:val="20"/>
          <w:szCs w:val="20"/>
        </w:rPr>
        <w:t xml:space="preserve">esetén </w:t>
      </w:r>
      <w:r>
        <w:rPr>
          <w:rFonts w:ascii="Times New Roman" w:hAnsi="Times New Roman"/>
          <w:sz w:val="20"/>
          <w:szCs w:val="20"/>
        </w:rPr>
        <w:t>azonban n</w:t>
      </w:r>
      <w:r w:rsidR="006639FC">
        <w:rPr>
          <w:rFonts w:ascii="Times New Roman" w:hAnsi="Times New Roman"/>
          <w:sz w:val="20"/>
          <w:szCs w:val="20"/>
        </w:rPr>
        <w:t>incs mód visszaigénylésre</w:t>
      </w:r>
      <w:r w:rsidR="005F5DF5">
        <w:rPr>
          <w:rFonts w:ascii="Times New Roman" w:hAnsi="Times New Roman"/>
          <w:sz w:val="20"/>
          <w:szCs w:val="20"/>
        </w:rPr>
        <w:t>, teljes mértékben az önkormányzatot terhelik.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242EC" w:rsidRPr="00533225" w:rsidRDefault="00B242EC" w:rsidP="00816AD2">
      <w:pPr>
        <w:pStyle w:val="Cmsor1"/>
        <w:rPr>
          <w:rFonts w:ascii="Times New Roman" w:hAnsi="Times New Roman"/>
          <w:b w:val="0"/>
          <w:sz w:val="20"/>
          <w:szCs w:val="20"/>
          <w:highlight w:val="yellow"/>
        </w:rPr>
      </w:pPr>
    </w:p>
    <w:p w:rsidR="00B242EC" w:rsidRPr="00783B53" w:rsidRDefault="00B242EC" w:rsidP="00783B53">
      <w:pPr>
        <w:jc w:val="both"/>
        <w:rPr>
          <w:rFonts w:ascii="Times New Roman" w:hAnsi="Times New Roman"/>
          <w:sz w:val="20"/>
          <w:szCs w:val="20"/>
        </w:rPr>
      </w:pPr>
      <w:r w:rsidRPr="00783B53">
        <w:rPr>
          <w:rFonts w:ascii="Times New Roman" w:hAnsi="Times New Roman"/>
          <w:sz w:val="20"/>
          <w:szCs w:val="20"/>
        </w:rPr>
        <w:t xml:space="preserve">Fenti változásokra való tekintettel a jegyzői hatáskörbe tartozó segélyek kifizetéséhez szükséges önerőt csökkentettük 1.500 </w:t>
      </w:r>
      <w:proofErr w:type="spellStart"/>
      <w:r w:rsidRPr="00783B53">
        <w:rPr>
          <w:rFonts w:ascii="Times New Roman" w:hAnsi="Times New Roman"/>
          <w:sz w:val="20"/>
          <w:szCs w:val="20"/>
        </w:rPr>
        <w:t>eFt-tal</w:t>
      </w:r>
      <w:proofErr w:type="spellEnd"/>
      <w:r>
        <w:rPr>
          <w:rFonts w:ascii="Times New Roman" w:hAnsi="Times New Roman"/>
          <w:sz w:val="20"/>
          <w:szCs w:val="20"/>
        </w:rPr>
        <w:t xml:space="preserve"> (a Közös Hivatal költségvetésében)</w:t>
      </w:r>
      <w:r w:rsidRPr="00783B53">
        <w:rPr>
          <w:rFonts w:ascii="Times New Roman" w:hAnsi="Times New Roman"/>
          <w:sz w:val="20"/>
          <w:szCs w:val="20"/>
        </w:rPr>
        <w:t xml:space="preserve">, az önkormányzati hatáskörbe tartozó segélyek forrását megemeltük 1.000 </w:t>
      </w:r>
      <w:proofErr w:type="spellStart"/>
      <w:r w:rsidRPr="00783B53">
        <w:rPr>
          <w:rFonts w:ascii="Times New Roman" w:hAnsi="Times New Roman"/>
          <w:sz w:val="20"/>
          <w:szCs w:val="20"/>
        </w:rPr>
        <w:t>eFt-tal</w:t>
      </w:r>
      <w:proofErr w:type="spellEnd"/>
      <w:r w:rsidRPr="00783B53">
        <w:rPr>
          <w:rFonts w:ascii="Times New Roman" w:hAnsi="Times New Roman"/>
          <w:sz w:val="20"/>
          <w:szCs w:val="20"/>
        </w:rPr>
        <w:t>.</w:t>
      </w:r>
    </w:p>
    <w:p w:rsidR="00B242EC" w:rsidRPr="00C22A03" w:rsidRDefault="00B242EC" w:rsidP="00C22A03">
      <w:pPr>
        <w:rPr>
          <w:highlight w:val="yellow"/>
        </w:rPr>
      </w:pPr>
    </w:p>
    <w:p w:rsidR="00B242EC" w:rsidRPr="00D701DF" w:rsidRDefault="00B242EC" w:rsidP="00816AD2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D701DF">
        <w:rPr>
          <w:rFonts w:ascii="Times New Roman" w:hAnsi="Times New Roman"/>
          <w:b w:val="0"/>
          <w:i/>
          <w:sz w:val="20"/>
          <w:szCs w:val="20"/>
        </w:rPr>
        <w:t xml:space="preserve"> Fejlesztések </w:t>
      </w:r>
    </w:p>
    <w:p w:rsidR="00B242EC" w:rsidRPr="009E4E4A" w:rsidRDefault="00B242EC" w:rsidP="009917B1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Default="00B242EC" w:rsidP="009917B1">
      <w:pPr>
        <w:jc w:val="both"/>
        <w:rPr>
          <w:rFonts w:ascii="Times New Roman" w:hAnsi="Times New Roman"/>
          <w:sz w:val="20"/>
          <w:szCs w:val="20"/>
        </w:rPr>
      </w:pPr>
      <w:r w:rsidRPr="00E670C2">
        <w:rPr>
          <w:rFonts w:ascii="Times New Roman" w:hAnsi="Times New Roman"/>
          <w:sz w:val="20"/>
          <w:szCs w:val="20"/>
        </w:rPr>
        <w:t xml:space="preserve">Az </w:t>
      </w:r>
      <w:r w:rsidRPr="00E670C2">
        <w:rPr>
          <w:rFonts w:ascii="Times New Roman" w:hAnsi="Times New Roman"/>
          <w:i/>
          <w:sz w:val="20"/>
          <w:szCs w:val="20"/>
        </w:rPr>
        <w:t>I.7</w:t>
      </w:r>
      <w:proofErr w:type="gramStart"/>
      <w:r w:rsidRPr="00E670C2">
        <w:rPr>
          <w:rFonts w:ascii="Times New Roman" w:hAnsi="Times New Roman"/>
          <w:i/>
          <w:sz w:val="20"/>
          <w:szCs w:val="20"/>
        </w:rPr>
        <w:t>.számú</w:t>
      </w:r>
      <w:proofErr w:type="gramEnd"/>
      <w:r w:rsidRPr="00E670C2">
        <w:rPr>
          <w:rFonts w:ascii="Times New Roman" w:hAnsi="Times New Roman"/>
          <w:i/>
          <w:sz w:val="20"/>
          <w:szCs w:val="20"/>
        </w:rPr>
        <w:t xml:space="preserve"> melléklet</w:t>
      </w:r>
      <w:r w:rsidRPr="00E670C2">
        <w:rPr>
          <w:rFonts w:ascii="Times New Roman" w:hAnsi="Times New Roman"/>
          <w:sz w:val="20"/>
          <w:szCs w:val="20"/>
        </w:rPr>
        <w:t xml:space="preserve"> </w:t>
      </w:r>
      <w:r w:rsidR="00A52F44">
        <w:rPr>
          <w:rFonts w:ascii="Times New Roman" w:hAnsi="Times New Roman"/>
          <w:sz w:val="20"/>
          <w:szCs w:val="20"/>
        </w:rPr>
        <w:t>a Hivatal felújítás, valamint a Vis Maior eseményekre kapott pályázati összeget és a szükséges önerőt tartalmazza</w:t>
      </w:r>
      <w:r w:rsidRPr="00E670C2">
        <w:rPr>
          <w:rFonts w:ascii="Times New Roman" w:hAnsi="Times New Roman"/>
          <w:sz w:val="20"/>
          <w:szCs w:val="20"/>
        </w:rPr>
        <w:t>.</w:t>
      </w:r>
      <w:r w:rsidR="00A52F44">
        <w:rPr>
          <w:rFonts w:ascii="Times New Roman" w:hAnsi="Times New Roman"/>
          <w:sz w:val="20"/>
          <w:szCs w:val="20"/>
        </w:rPr>
        <w:t xml:space="preserve"> </w:t>
      </w:r>
    </w:p>
    <w:p w:rsidR="00A52F44" w:rsidRPr="009E4E4A" w:rsidRDefault="00A52F44" w:rsidP="009917B1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A52F44" w:rsidRDefault="00B242EC" w:rsidP="009917B1">
      <w:pPr>
        <w:jc w:val="both"/>
        <w:rPr>
          <w:rFonts w:ascii="Times New Roman" w:hAnsi="Times New Roman"/>
          <w:sz w:val="20"/>
          <w:szCs w:val="20"/>
        </w:rPr>
      </w:pPr>
      <w:r w:rsidRPr="00A52F44">
        <w:rPr>
          <w:rFonts w:ascii="Times New Roman" w:hAnsi="Times New Roman"/>
          <w:sz w:val="20"/>
          <w:szCs w:val="20"/>
        </w:rPr>
        <w:t>A 2015. évre javasolt fejlesztési tervek:</w:t>
      </w:r>
    </w:p>
    <w:p w:rsidR="00B242EC" w:rsidRPr="00A52F44" w:rsidRDefault="002F325D" w:rsidP="00487078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A52F44">
        <w:rPr>
          <w:rFonts w:ascii="Times New Roman" w:hAnsi="Times New Roman"/>
          <w:sz w:val="20"/>
          <w:szCs w:val="20"/>
        </w:rPr>
        <w:t>I</w:t>
      </w:r>
      <w:r w:rsidR="00A52F44" w:rsidRPr="00A52F44">
        <w:rPr>
          <w:rFonts w:ascii="Times New Roman" w:hAnsi="Times New Roman"/>
          <w:sz w:val="20"/>
          <w:szCs w:val="20"/>
        </w:rPr>
        <w:t xml:space="preserve">dősek </w:t>
      </w:r>
      <w:r w:rsidRPr="00A52F44">
        <w:rPr>
          <w:rFonts w:ascii="Times New Roman" w:hAnsi="Times New Roman"/>
          <w:sz w:val="20"/>
          <w:szCs w:val="20"/>
        </w:rPr>
        <w:t>K</w:t>
      </w:r>
      <w:r w:rsidR="00A52F44" w:rsidRPr="00A52F44">
        <w:rPr>
          <w:rFonts w:ascii="Times New Roman" w:hAnsi="Times New Roman"/>
          <w:sz w:val="20"/>
          <w:szCs w:val="20"/>
        </w:rPr>
        <w:t>lubja</w:t>
      </w:r>
      <w:r w:rsidRPr="00A52F44">
        <w:rPr>
          <w:rFonts w:ascii="Times New Roman" w:hAnsi="Times New Roman"/>
          <w:sz w:val="20"/>
          <w:szCs w:val="20"/>
        </w:rPr>
        <w:t xml:space="preserve"> átköltöztetése</w:t>
      </w:r>
    </w:p>
    <w:p w:rsidR="00B242EC" w:rsidRPr="00A52F44" w:rsidRDefault="00A52F44" w:rsidP="00A52F44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A52F44">
        <w:rPr>
          <w:rFonts w:ascii="Times New Roman" w:hAnsi="Times New Roman"/>
          <w:sz w:val="20"/>
          <w:szCs w:val="20"/>
        </w:rPr>
        <w:t>intézményi igények:</w:t>
      </w:r>
    </w:p>
    <w:p w:rsidR="00B242EC" w:rsidRPr="00A52F44" w:rsidRDefault="00A52F44" w:rsidP="00E670C2">
      <w:pPr>
        <w:jc w:val="both"/>
        <w:rPr>
          <w:rFonts w:ascii="Times New Roman" w:hAnsi="Times New Roman"/>
          <w:sz w:val="20"/>
          <w:szCs w:val="20"/>
        </w:rPr>
      </w:pPr>
      <w:r w:rsidRPr="00A52F44">
        <w:rPr>
          <w:rFonts w:ascii="Times New Roman" w:hAnsi="Times New Roman"/>
          <w:sz w:val="20"/>
          <w:szCs w:val="20"/>
        </w:rPr>
        <w:t xml:space="preserve">              </w:t>
      </w:r>
      <w:r w:rsidR="00B242EC" w:rsidRPr="00A52F44">
        <w:rPr>
          <w:rFonts w:ascii="Times New Roman" w:hAnsi="Times New Roman"/>
          <w:sz w:val="20"/>
          <w:szCs w:val="20"/>
        </w:rPr>
        <w:t xml:space="preserve">Óvoda: - festés (árajánlat 965 </w:t>
      </w:r>
      <w:proofErr w:type="spellStart"/>
      <w:r w:rsidR="00B242EC" w:rsidRPr="00A52F44">
        <w:rPr>
          <w:rFonts w:ascii="Times New Roman" w:hAnsi="Times New Roman"/>
          <w:sz w:val="20"/>
          <w:szCs w:val="20"/>
        </w:rPr>
        <w:t>eFt-ról</w:t>
      </w:r>
      <w:proofErr w:type="spellEnd"/>
      <w:r w:rsidR="00B242EC" w:rsidRPr="00A52F44">
        <w:rPr>
          <w:rFonts w:ascii="Times New Roman" w:hAnsi="Times New Roman"/>
          <w:sz w:val="20"/>
          <w:szCs w:val="20"/>
        </w:rPr>
        <w:t>)</w:t>
      </w:r>
    </w:p>
    <w:p w:rsidR="00B242EC" w:rsidRDefault="00DA5FBE" w:rsidP="00E670C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- </w:t>
      </w:r>
      <w:proofErr w:type="gramStart"/>
      <w:r w:rsidRPr="00A87091">
        <w:rPr>
          <w:rFonts w:ascii="Times New Roman" w:hAnsi="Times New Roman"/>
          <w:sz w:val="20"/>
          <w:szCs w:val="20"/>
        </w:rPr>
        <w:t>kerítés pótlásra</w:t>
      </w:r>
      <w:proofErr w:type="gramEnd"/>
      <w:r w:rsidRPr="00A87091">
        <w:rPr>
          <w:rFonts w:ascii="Times New Roman" w:hAnsi="Times New Roman"/>
          <w:sz w:val="20"/>
          <w:szCs w:val="20"/>
        </w:rPr>
        <w:t xml:space="preserve"> szorul, állaga romlik, a nagykapu elavult, hama</w:t>
      </w:r>
      <w:r>
        <w:rPr>
          <w:rFonts w:ascii="Times New Roman" w:hAnsi="Times New Roman"/>
          <w:sz w:val="20"/>
          <w:szCs w:val="20"/>
        </w:rPr>
        <w:t>rosan megoldást kell rá keresni</w:t>
      </w:r>
    </w:p>
    <w:p w:rsidR="00DA5FBE" w:rsidRPr="00A52F44" w:rsidRDefault="00DA5FBE" w:rsidP="00E670C2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A52F44" w:rsidRDefault="00A52F44" w:rsidP="00E670C2">
      <w:pPr>
        <w:jc w:val="both"/>
        <w:rPr>
          <w:rFonts w:ascii="Times New Roman" w:hAnsi="Times New Roman"/>
          <w:sz w:val="20"/>
          <w:szCs w:val="20"/>
        </w:rPr>
      </w:pPr>
      <w:r w:rsidRPr="00A52F44">
        <w:rPr>
          <w:rFonts w:ascii="Times New Roman" w:hAnsi="Times New Roman"/>
          <w:sz w:val="20"/>
          <w:szCs w:val="20"/>
        </w:rPr>
        <w:t xml:space="preserve">              </w:t>
      </w:r>
      <w:r w:rsidR="00B242EC" w:rsidRPr="00A52F44">
        <w:rPr>
          <w:rFonts w:ascii="Times New Roman" w:hAnsi="Times New Roman"/>
          <w:sz w:val="20"/>
          <w:szCs w:val="20"/>
        </w:rPr>
        <w:t xml:space="preserve">Iskola: - </w:t>
      </w:r>
      <w:proofErr w:type="gramStart"/>
      <w:r w:rsidR="00B242EC" w:rsidRPr="00A52F44">
        <w:rPr>
          <w:rFonts w:ascii="Times New Roman" w:hAnsi="Times New Roman"/>
          <w:sz w:val="20"/>
          <w:szCs w:val="20"/>
        </w:rPr>
        <w:t>állagmegőrzés       • ereszcsatorna</w:t>
      </w:r>
      <w:proofErr w:type="gramEnd"/>
      <w:r w:rsidR="00B242EC" w:rsidRPr="00A52F44">
        <w:rPr>
          <w:rFonts w:ascii="Times New Roman" w:hAnsi="Times New Roman"/>
          <w:sz w:val="20"/>
          <w:szCs w:val="20"/>
        </w:rPr>
        <w:t xml:space="preserve"> javítása (már </w:t>
      </w:r>
      <w:r w:rsidR="00F7501E" w:rsidRPr="00A52F44">
        <w:rPr>
          <w:rFonts w:ascii="Times New Roman" w:hAnsi="Times New Roman"/>
          <w:sz w:val="20"/>
          <w:szCs w:val="20"/>
        </w:rPr>
        <w:t>el</w:t>
      </w:r>
      <w:r w:rsidR="00B242EC" w:rsidRPr="00A52F44">
        <w:rPr>
          <w:rFonts w:ascii="Times New Roman" w:hAnsi="Times New Roman"/>
          <w:sz w:val="20"/>
          <w:szCs w:val="20"/>
        </w:rPr>
        <w:t>kész</w:t>
      </w:r>
      <w:r w:rsidR="00F7501E" w:rsidRPr="00A52F44">
        <w:rPr>
          <w:rFonts w:ascii="Times New Roman" w:hAnsi="Times New Roman"/>
          <w:sz w:val="20"/>
          <w:szCs w:val="20"/>
        </w:rPr>
        <w:t>ült</w:t>
      </w:r>
      <w:r w:rsidR="00B242EC" w:rsidRPr="00A52F44">
        <w:rPr>
          <w:rFonts w:ascii="Times New Roman" w:hAnsi="Times New Roman"/>
          <w:sz w:val="20"/>
          <w:szCs w:val="20"/>
        </w:rPr>
        <w:t xml:space="preserve"> 220 </w:t>
      </w:r>
      <w:proofErr w:type="spellStart"/>
      <w:r w:rsidR="00B242EC" w:rsidRPr="00A52F44">
        <w:rPr>
          <w:rFonts w:ascii="Times New Roman" w:hAnsi="Times New Roman"/>
          <w:sz w:val="20"/>
          <w:szCs w:val="20"/>
        </w:rPr>
        <w:t>eFt</w:t>
      </w:r>
      <w:proofErr w:type="spellEnd"/>
      <w:r w:rsidR="00B242EC" w:rsidRPr="00A52F44">
        <w:rPr>
          <w:rFonts w:ascii="Times New Roman" w:hAnsi="Times New Roman"/>
          <w:sz w:val="20"/>
          <w:szCs w:val="20"/>
        </w:rPr>
        <w:t>)</w:t>
      </w:r>
    </w:p>
    <w:p w:rsidR="00B242EC" w:rsidRPr="00A52F44" w:rsidRDefault="00A52F44" w:rsidP="00E670C2">
      <w:pPr>
        <w:jc w:val="both"/>
        <w:rPr>
          <w:rFonts w:ascii="Times New Roman" w:hAnsi="Times New Roman"/>
          <w:sz w:val="20"/>
          <w:szCs w:val="20"/>
        </w:rPr>
      </w:pPr>
      <w:r w:rsidRPr="00A52F44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B242EC" w:rsidRPr="00A52F44">
        <w:rPr>
          <w:rFonts w:ascii="Times New Roman" w:hAnsi="Times New Roman"/>
          <w:sz w:val="20"/>
          <w:szCs w:val="20"/>
        </w:rPr>
        <w:t xml:space="preserve">• </w:t>
      </w:r>
      <w:proofErr w:type="gramStart"/>
      <w:r w:rsidR="00B242EC" w:rsidRPr="00A52F44">
        <w:rPr>
          <w:rFonts w:ascii="Times New Roman" w:hAnsi="Times New Roman"/>
          <w:sz w:val="20"/>
          <w:szCs w:val="20"/>
        </w:rPr>
        <w:t>víz</w:t>
      </w:r>
      <w:proofErr w:type="gramEnd"/>
      <w:r w:rsidR="00B242EC" w:rsidRPr="00A52F44">
        <w:rPr>
          <w:rFonts w:ascii="Times New Roman" w:hAnsi="Times New Roman"/>
          <w:sz w:val="20"/>
          <w:szCs w:val="20"/>
        </w:rPr>
        <w:t xml:space="preserve"> elvezetés udvaron (~20 </w:t>
      </w:r>
      <w:proofErr w:type="spellStart"/>
      <w:r w:rsidR="00B242EC" w:rsidRPr="00A52F44">
        <w:rPr>
          <w:rFonts w:ascii="Times New Roman" w:hAnsi="Times New Roman"/>
          <w:sz w:val="20"/>
          <w:szCs w:val="20"/>
        </w:rPr>
        <w:t>eFt</w:t>
      </w:r>
      <w:proofErr w:type="spellEnd"/>
      <w:r w:rsidR="00B242EC" w:rsidRPr="00A52F44">
        <w:rPr>
          <w:rFonts w:ascii="Times New Roman" w:hAnsi="Times New Roman"/>
          <w:sz w:val="20"/>
          <w:szCs w:val="20"/>
        </w:rPr>
        <w:t>)</w:t>
      </w:r>
    </w:p>
    <w:p w:rsidR="00B242EC" w:rsidRPr="00BE42AE" w:rsidRDefault="00BE42AE" w:rsidP="0064392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proofErr w:type="gramStart"/>
      <w:r w:rsidRPr="00BE42AE">
        <w:rPr>
          <w:rFonts w:ascii="Times New Roman" w:hAnsi="Times New Roman"/>
          <w:i/>
          <w:sz w:val="20"/>
          <w:szCs w:val="20"/>
        </w:rPr>
        <w:t>-  lehetőség</w:t>
      </w:r>
      <w:proofErr w:type="gramEnd"/>
      <w:r w:rsidRPr="00BE42AE">
        <w:rPr>
          <w:rFonts w:ascii="Times New Roman" w:hAnsi="Times New Roman"/>
          <w:i/>
          <w:sz w:val="20"/>
          <w:szCs w:val="20"/>
        </w:rPr>
        <w:t xml:space="preserve"> szerint </w:t>
      </w:r>
      <w:proofErr w:type="spellStart"/>
      <w:r w:rsidRPr="00BE42AE">
        <w:rPr>
          <w:rFonts w:ascii="Times New Roman" w:hAnsi="Times New Roman"/>
          <w:i/>
          <w:sz w:val="20"/>
          <w:szCs w:val="20"/>
        </w:rPr>
        <w:t>cafetéria</w:t>
      </w:r>
      <w:proofErr w:type="spellEnd"/>
      <w:r w:rsidRPr="00BE42AE">
        <w:rPr>
          <w:rFonts w:ascii="Times New Roman" w:hAnsi="Times New Roman"/>
          <w:i/>
          <w:sz w:val="20"/>
          <w:szCs w:val="20"/>
        </w:rPr>
        <w:t xml:space="preserve"> juttatás a fizikai alkalmazottak számára  </w:t>
      </w:r>
    </w:p>
    <w:p w:rsidR="00BE42AE" w:rsidRDefault="00BE42AE" w:rsidP="009247DC">
      <w:pPr>
        <w:pStyle w:val="Listaszerbekezds"/>
        <w:jc w:val="both"/>
        <w:rPr>
          <w:rFonts w:ascii="Times New Roman" w:hAnsi="Times New Roman"/>
          <w:sz w:val="20"/>
          <w:szCs w:val="20"/>
        </w:rPr>
      </w:pPr>
    </w:p>
    <w:p w:rsidR="009247DC" w:rsidRDefault="00E23FB1" w:rsidP="009247D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4392D">
        <w:rPr>
          <w:rFonts w:ascii="Times New Roman" w:hAnsi="Times New Roman"/>
          <w:sz w:val="20"/>
          <w:szCs w:val="20"/>
        </w:rPr>
        <w:t>Műv</w:t>
      </w:r>
      <w:proofErr w:type="gramStart"/>
      <w:r w:rsidRPr="0064392D">
        <w:rPr>
          <w:rFonts w:ascii="Times New Roman" w:hAnsi="Times New Roman"/>
          <w:sz w:val="20"/>
          <w:szCs w:val="20"/>
        </w:rPr>
        <w:t>.Ház</w:t>
      </w:r>
      <w:proofErr w:type="spellEnd"/>
      <w:proofErr w:type="gramEnd"/>
      <w:r w:rsidR="009247DC">
        <w:rPr>
          <w:rFonts w:ascii="Times New Roman" w:hAnsi="Times New Roman"/>
          <w:sz w:val="20"/>
          <w:szCs w:val="20"/>
        </w:rPr>
        <w:t xml:space="preserve">: - </w:t>
      </w:r>
      <w:r w:rsidR="0064392D" w:rsidRPr="0064392D">
        <w:rPr>
          <w:rFonts w:ascii="Times New Roman" w:hAnsi="Times New Roman"/>
          <w:sz w:val="20"/>
          <w:szCs w:val="20"/>
        </w:rPr>
        <w:t>az udvari esőcsatorna csöpögő elemeinek</w:t>
      </w:r>
      <w:r w:rsidR="009247DC">
        <w:rPr>
          <w:rFonts w:ascii="Times New Roman" w:hAnsi="Times New Roman"/>
          <w:sz w:val="20"/>
          <w:szCs w:val="20"/>
        </w:rPr>
        <w:t xml:space="preserve"> kijavítása, cseréje</w:t>
      </w:r>
      <w:r w:rsidR="0064392D" w:rsidRPr="0064392D">
        <w:rPr>
          <w:rFonts w:ascii="Times New Roman" w:hAnsi="Times New Roman"/>
          <w:sz w:val="20"/>
          <w:szCs w:val="20"/>
        </w:rPr>
        <w:t xml:space="preserve"> (kb. </w:t>
      </w:r>
      <w:r w:rsidR="009247DC">
        <w:rPr>
          <w:rFonts w:ascii="Times New Roman" w:hAnsi="Times New Roman"/>
          <w:sz w:val="20"/>
          <w:szCs w:val="20"/>
        </w:rPr>
        <w:t xml:space="preserve">  </w:t>
      </w:r>
      <w:r w:rsidR="0064392D" w:rsidRPr="009247DC">
        <w:rPr>
          <w:rFonts w:ascii="Times New Roman" w:hAnsi="Times New Roman"/>
          <w:sz w:val="20"/>
          <w:szCs w:val="20"/>
        </w:rPr>
        <w:t xml:space="preserve">20 ezer Ft, „házi” </w:t>
      </w:r>
      <w:r w:rsidR="009247DC">
        <w:rPr>
          <w:rFonts w:ascii="Times New Roman" w:hAnsi="Times New Roman"/>
          <w:sz w:val="20"/>
          <w:szCs w:val="20"/>
        </w:rPr>
        <w:t xml:space="preserve">      </w:t>
      </w:r>
    </w:p>
    <w:p w:rsidR="0064392D" w:rsidRPr="009247DC" w:rsidRDefault="009247DC" w:rsidP="009247D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="0064392D" w:rsidRPr="009247DC">
        <w:rPr>
          <w:rFonts w:ascii="Times New Roman" w:hAnsi="Times New Roman"/>
          <w:sz w:val="20"/>
          <w:szCs w:val="20"/>
        </w:rPr>
        <w:t>kivitelezéssel</w:t>
      </w:r>
      <w:proofErr w:type="gramEnd"/>
      <w:r w:rsidR="0064392D" w:rsidRPr="009247DC">
        <w:rPr>
          <w:rFonts w:ascii="Times New Roman" w:hAnsi="Times New Roman"/>
          <w:sz w:val="20"/>
          <w:szCs w:val="20"/>
        </w:rPr>
        <w:t xml:space="preserve">), </w:t>
      </w:r>
    </w:p>
    <w:p w:rsidR="0064392D" w:rsidRPr="0064392D" w:rsidRDefault="009247DC" w:rsidP="009247D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- </w:t>
      </w:r>
      <w:r w:rsidR="0064392D" w:rsidRPr="0064392D">
        <w:rPr>
          <w:rFonts w:ascii="Times New Roman" w:hAnsi="Times New Roman"/>
          <w:sz w:val="20"/>
          <w:szCs w:val="20"/>
        </w:rPr>
        <w:t xml:space="preserve">a hiányzó </w:t>
      </w:r>
      <w:r>
        <w:rPr>
          <w:rFonts w:ascii="Times New Roman" w:hAnsi="Times New Roman"/>
          <w:sz w:val="20"/>
          <w:szCs w:val="20"/>
        </w:rPr>
        <w:t xml:space="preserve">tornác-oszlop </w:t>
      </w:r>
      <w:proofErr w:type="gramStart"/>
      <w:r>
        <w:rPr>
          <w:rFonts w:ascii="Times New Roman" w:hAnsi="Times New Roman"/>
          <w:sz w:val="20"/>
          <w:szCs w:val="20"/>
        </w:rPr>
        <w:t>elkészít(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tet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proofErr w:type="spellStart"/>
      <w:r>
        <w:rPr>
          <w:rFonts w:ascii="Times New Roman" w:hAnsi="Times New Roman"/>
          <w:sz w:val="20"/>
          <w:szCs w:val="20"/>
        </w:rPr>
        <w:t>ése</w:t>
      </w:r>
      <w:proofErr w:type="spellEnd"/>
      <w:r w:rsidR="0064392D" w:rsidRPr="0064392D">
        <w:rPr>
          <w:rFonts w:ascii="Times New Roman" w:hAnsi="Times New Roman"/>
          <w:sz w:val="20"/>
          <w:szCs w:val="20"/>
        </w:rPr>
        <w:t xml:space="preserve"> (kb. 20 ezer Ft anyagköltség), </w:t>
      </w:r>
    </w:p>
    <w:p w:rsidR="009247DC" w:rsidRDefault="009247DC" w:rsidP="009247D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- </w:t>
      </w:r>
      <w:r w:rsidR="0064392D" w:rsidRPr="0064392D">
        <w:rPr>
          <w:rFonts w:ascii="Times New Roman" w:hAnsi="Times New Roman"/>
          <w:sz w:val="20"/>
          <w:szCs w:val="20"/>
        </w:rPr>
        <w:t>a té</w:t>
      </w:r>
      <w:r>
        <w:rPr>
          <w:rFonts w:ascii="Times New Roman" w:hAnsi="Times New Roman"/>
          <w:sz w:val="20"/>
          <w:szCs w:val="20"/>
        </w:rPr>
        <w:t>r felőli vas korlát lefestése</w:t>
      </w:r>
      <w:r w:rsidR="0064392D" w:rsidRPr="0064392D">
        <w:rPr>
          <w:rFonts w:ascii="Times New Roman" w:hAnsi="Times New Roman"/>
          <w:sz w:val="20"/>
          <w:szCs w:val="20"/>
        </w:rPr>
        <w:t xml:space="preserve"> (a festék+hígító, ecsetek kb. 20 ezer Ft),</w:t>
      </w:r>
    </w:p>
    <w:p w:rsidR="0064392D" w:rsidRPr="0064392D" w:rsidRDefault="009247DC" w:rsidP="009247D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- </w:t>
      </w:r>
      <w:r w:rsidR="0064392D" w:rsidRPr="0064392D">
        <w:rPr>
          <w:rFonts w:ascii="Times New Roman" w:hAnsi="Times New Roman"/>
          <w:sz w:val="20"/>
          <w:szCs w:val="20"/>
        </w:rPr>
        <w:t>a fa elemek (udva</w:t>
      </w:r>
      <w:r>
        <w:rPr>
          <w:rFonts w:ascii="Times New Roman" w:hAnsi="Times New Roman"/>
          <w:sz w:val="20"/>
          <w:szCs w:val="20"/>
        </w:rPr>
        <w:t>ri és beltéri ajtók) mázolása</w:t>
      </w:r>
      <w:r w:rsidR="0064392D" w:rsidRPr="0064392D">
        <w:rPr>
          <w:rFonts w:ascii="Times New Roman" w:hAnsi="Times New Roman"/>
          <w:sz w:val="20"/>
          <w:szCs w:val="20"/>
        </w:rPr>
        <w:t xml:space="preserve">. </w:t>
      </w:r>
    </w:p>
    <w:p w:rsidR="00E23FB1" w:rsidRPr="009E4E4A" w:rsidRDefault="00E23FB1" w:rsidP="002918FB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Pr="0094740A" w:rsidRDefault="00B242EC" w:rsidP="002918FB">
      <w:pPr>
        <w:jc w:val="both"/>
        <w:rPr>
          <w:rFonts w:ascii="Times New Roman" w:hAnsi="Times New Roman"/>
          <w:sz w:val="20"/>
          <w:szCs w:val="20"/>
        </w:rPr>
      </w:pPr>
      <w:r w:rsidRPr="0094740A">
        <w:rPr>
          <w:rFonts w:ascii="Times New Roman" w:hAnsi="Times New Roman"/>
          <w:sz w:val="20"/>
          <w:szCs w:val="20"/>
        </w:rPr>
        <w:t xml:space="preserve">Az intézményekben a legszükségesebb karbantartási munkákat, javításokat saját munkaerővel, közmunkások alkalmazásával igyekszünk megoldani.  </w:t>
      </w:r>
    </w:p>
    <w:p w:rsidR="00B242EC" w:rsidRPr="009E4E4A" w:rsidRDefault="00B242EC" w:rsidP="009917B1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Pr="00094F79" w:rsidRDefault="00B242E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094F79">
        <w:rPr>
          <w:rFonts w:ascii="Times New Roman" w:hAnsi="Times New Roman"/>
          <w:b w:val="0"/>
          <w:i/>
          <w:sz w:val="20"/>
          <w:szCs w:val="20"/>
        </w:rPr>
        <w:t>Átadott pénzeszközök (I.8. melléklet)</w:t>
      </w:r>
    </w:p>
    <w:p w:rsidR="00B242EC" w:rsidRPr="009E4E4A" w:rsidRDefault="00B242EC" w:rsidP="0040588A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Pr="00094F79" w:rsidRDefault="00B242EC" w:rsidP="0040588A">
      <w:pPr>
        <w:jc w:val="both"/>
        <w:rPr>
          <w:rFonts w:ascii="Times New Roman" w:hAnsi="Times New Roman"/>
          <w:sz w:val="20"/>
          <w:szCs w:val="20"/>
        </w:rPr>
      </w:pPr>
      <w:r w:rsidRPr="00094F79">
        <w:rPr>
          <w:rFonts w:ascii="Times New Roman" w:hAnsi="Times New Roman"/>
          <w:sz w:val="20"/>
          <w:szCs w:val="20"/>
        </w:rPr>
        <w:t xml:space="preserve">A </w:t>
      </w:r>
      <w:r w:rsidRPr="00094F79">
        <w:rPr>
          <w:rFonts w:ascii="Times New Roman" w:hAnsi="Times New Roman"/>
          <w:i/>
          <w:sz w:val="20"/>
          <w:szCs w:val="20"/>
        </w:rPr>
        <w:t>civil szervezetek támogatására</w:t>
      </w:r>
      <w:r w:rsidRPr="00094F79">
        <w:rPr>
          <w:rFonts w:ascii="Times New Roman" w:hAnsi="Times New Roman"/>
          <w:sz w:val="20"/>
          <w:szCs w:val="20"/>
        </w:rPr>
        <w:t xml:space="preserve"> a tavalyival megegyező összeget, 4.</w:t>
      </w:r>
      <w:r>
        <w:rPr>
          <w:rFonts w:ascii="Times New Roman" w:hAnsi="Times New Roman"/>
          <w:sz w:val="20"/>
          <w:szCs w:val="20"/>
        </w:rPr>
        <w:t>46</w:t>
      </w:r>
      <w:r w:rsidRPr="00094F79">
        <w:rPr>
          <w:rFonts w:ascii="Times New Roman" w:hAnsi="Times New Roman"/>
          <w:sz w:val="20"/>
          <w:szCs w:val="20"/>
        </w:rPr>
        <w:t xml:space="preserve">0 </w:t>
      </w:r>
      <w:proofErr w:type="spellStart"/>
      <w:r w:rsidRPr="00094F79">
        <w:rPr>
          <w:rFonts w:ascii="Times New Roman" w:hAnsi="Times New Roman"/>
          <w:sz w:val="20"/>
          <w:szCs w:val="20"/>
        </w:rPr>
        <w:t>eFt-ot</w:t>
      </w:r>
      <w:proofErr w:type="spellEnd"/>
      <w:r w:rsidRPr="00094F79">
        <w:rPr>
          <w:rFonts w:ascii="Times New Roman" w:hAnsi="Times New Roman"/>
          <w:sz w:val="20"/>
          <w:szCs w:val="20"/>
        </w:rPr>
        <w:t xml:space="preserve"> tartalmaz az előterjesztés.</w:t>
      </w:r>
    </w:p>
    <w:p w:rsidR="00B242EC" w:rsidRPr="009E4E4A" w:rsidRDefault="00B242EC" w:rsidP="00455230">
      <w:pPr>
        <w:spacing w:before="100" w:beforeAutospacing="1"/>
        <w:rPr>
          <w:rFonts w:ascii="Times New Roman" w:hAnsi="Times New Roman"/>
          <w:sz w:val="20"/>
          <w:szCs w:val="20"/>
          <w:highlight w:val="yellow"/>
        </w:rPr>
      </w:pPr>
      <w:r w:rsidRPr="00094F79">
        <w:rPr>
          <w:rFonts w:ascii="Times New Roman" w:hAnsi="Times New Roman"/>
          <w:sz w:val="20"/>
          <w:szCs w:val="20"/>
        </w:rPr>
        <w:t xml:space="preserve">A </w:t>
      </w:r>
      <w:r w:rsidRPr="00094F79">
        <w:rPr>
          <w:rFonts w:ascii="Times New Roman" w:hAnsi="Times New Roman"/>
          <w:bCs/>
          <w:i/>
          <w:sz w:val="20"/>
          <w:szCs w:val="20"/>
        </w:rPr>
        <w:t>Dorog és Térsége Szociális Alapellátó</w:t>
      </w:r>
      <w:r w:rsidRPr="00094F7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94F79">
        <w:rPr>
          <w:rFonts w:ascii="Times New Roman" w:hAnsi="Times New Roman"/>
          <w:i/>
          <w:sz w:val="20"/>
          <w:szCs w:val="20"/>
        </w:rPr>
        <w:t>Központnak</w:t>
      </w:r>
      <w:r w:rsidRPr="00094F79">
        <w:rPr>
          <w:rFonts w:ascii="Times New Roman" w:hAnsi="Times New Roman"/>
          <w:sz w:val="20"/>
          <w:szCs w:val="20"/>
        </w:rPr>
        <w:t xml:space="preserve"> a családsegítő és gyerekjóléti szolgálat működési hozzájárulásaként 1.172 </w:t>
      </w:r>
      <w:proofErr w:type="spellStart"/>
      <w:r w:rsidRPr="00094F79">
        <w:rPr>
          <w:rFonts w:ascii="Times New Roman" w:hAnsi="Times New Roman"/>
          <w:sz w:val="20"/>
          <w:szCs w:val="20"/>
        </w:rPr>
        <w:t>eFt</w:t>
      </w:r>
      <w:proofErr w:type="spellEnd"/>
      <w:r w:rsidRPr="00094F79">
        <w:rPr>
          <w:rFonts w:ascii="Times New Roman" w:hAnsi="Times New Roman"/>
          <w:sz w:val="20"/>
          <w:szCs w:val="20"/>
        </w:rPr>
        <w:t xml:space="preserve">, az Idősek Klubja fenntartásának költségeihez 3.947 </w:t>
      </w:r>
      <w:proofErr w:type="spellStart"/>
      <w:r w:rsidRPr="00094F79">
        <w:rPr>
          <w:rFonts w:ascii="Times New Roman" w:hAnsi="Times New Roman"/>
          <w:sz w:val="20"/>
          <w:szCs w:val="20"/>
        </w:rPr>
        <w:t>eFt</w:t>
      </w:r>
      <w:proofErr w:type="spellEnd"/>
      <w:r w:rsidRPr="00094F79">
        <w:rPr>
          <w:rFonts w:ascii="Times New Roman" w:hAnsi="Times New Roman"/>
          <w:sz w:val="20"/>
          <w:szCs w:val="20"/>
        </w:rPr>
        <w:t xml:space="preserve"> átadásával </w:t>
      </w:r>
      <w:r w:rsidRPr="00B22E8F">
        <w:rPr>
          <w:rFonts w:ascii="Times New Roman" w:hAnsi="Times New Roman"/>
          <w:sz w:val="20"/>
          <w:szCs w:val="20"/>
        </w:rPr>
        <w:t xml:space="preserve">számoltunk. </w:t>
      </w:r>
    </w:p>
    <w:p w:rsidR="00B242EC" w:rsidRPr="009E4E4A" w:rsidRDefault="00B242EC" w:rsidP="00455230">
      <w:pPr>
        <w:pStyle w:val="Cmsor1"/>
        <w:rPr>
          <w:rFonts w:ascii="Times New Roman" w:hAnsi="Times New Roman"/>
          <w:sz w:val="20"/>
          <w:szCs w:val="20"/>
          <w:highlight w:val="yellow"/>
        </w:rPr>
      </w:pPr>
    </w:p>
    <w:p w:rsidR="00B242EC" w:rsidRPr="001C5505" w:rsidRDefault="00B242EC" w:rsidP="00E343B9">
      <w:pPr>
        <w:jc w:val="both"/>
        <w:rPr>
          <w:rFonts w:ascii="Times New Roman" w:hAnsi="Times New Roman"/>
          <w:sz w:val="20"/>
          <w:szCs w:val="20"/>
        </w:rPr>
      </w:pPr>
      <w:r w:rsidRPr="001C5505">
        <w:rPr>
          <w:rFonts w:ascii="Times New Roman" w:hAnsi="Times New Roman"/>
          <w:sz w:val="20"/>
          <w:szCs w:val="20"/>
        </w:rPr>
        <w:t xml:space="preserve">A </w:t>
      </w:r>
      <w:r w:rsidRPr="001C5505">
        <w:rPr>
          <w:rFonts w:ascii="Times New Roman" w:hAnsi="Times New Roman"/>
          <w:i/>
          <w:sz w:val="20"/>
          <w:szCs w:val="20"/>
        </w:rPr>
        <w:t>Közös Önkormányzati Hivatalnak</w:t>
      </w:r>
      <w:r w:rsidRPr="001C5505">
        <w:rPr>
          <w:rFonts w:ascii="Times New Roman" w:hAnsi="Times New Roman"/>
          <w:sz w:val="20"/>
          <w:szCs w:val="20"/>
        </w:rPr>
        <w:t xml:space="preserve"> a teljes állami támogatás összegét, 55.326 </w:t>
      </w:r>
      <w:proofErr w:type="spellStart"/>
      <w:r w:rsidRPr="001C5505">
        <w:rPr>
          <w:rFonts w:ascii="Times New Roman" w:hAnsi="Times New Roman"/>
          <w:sz w:val="20"/>
          <w:szCs w:val="20"/>
        </w:rPr>
        <w:t>eFt-ot</w:t>
      </w:r>
      <w:proofErr w:type="spellEnd"/>
      <w:r w:rsidRPr="001C5505">
        <w:rPr>
          <w:rFonts w:ascii="Times New Roman" w:hAnsi="Times New Roman"/>
          <w:sz w:val="20"/>
          <w:szCs w:val="20"/>
        </w:rPr>
        <w:t xml:space="preserve"> átadjuk a működési kiadások finanszírozására. Ezen felül a </w:t>
      </w:r>
      <w:proofErr w:type="spellStart"/>
      <w:r w:rsidRPr="001C5505">
        <w:rPr>
          <w:rFonts w:ascii="Times New Roman" w:hAnsi="Times New Roman"/>
          <w:sz w:val="20"/>
          <w:szCs w:val="20"/>
        </w:rPr>
        <w:t>piliscsévi</w:t>
      </w:r>
      <w:proofErr w:type="spellEnd"/>
      <w:r w:rsidRPr="001C5505">
        <w:rPr>
          <w:rFonts w:ascii="Times New Roman" w:hAnsi="Times New Roman"/>
          <w:sz w:val="20"/>
          <w:szCs w:val="20"/>
        </w:rPr>
        <w:t xml:space="preserve"> segélyek kifizetéséhez szükséges önerőt (400 </w:t>
      </w:r>
      <w:proofErr w:type="spellStart"/>
      <w:r w:rsidRPr="001C5505">
        <w:rPr>
          <w:rFonts w:ascii="Times New Roman" w:hAnsi="Times New Roman"/>
          <w:sz w:val="20"/>
          <w:szCs w:val="20"/>
        </w:rPr>
        <w:t>eFt</w:t>
      </w:r>
      <w:proofErr w:type="spellEnd"/>
      <w:r w:rsidRPr="001C5505">
        <w:rPr>
          <w:rFonts w:ascii="Times New Roman" w:hAnsi="Times New Roman"/>
          <w:sz w:val="20"/>
          <w:szCs w:val="20"/>
        </w:rPr>
        <w:t>) adjuk át.</w:t>
      </w:r>
    </w:p>
    <w:p w:rsidR="00B242EC" w:rsidRPr="009E4E4A" w:rsidRDefault="00B242EC" w:rsidP="00E343B9">
      <w:pPr>
        <w:jc w:val="both"/>
        <w:rPr>
          <w:sz w:val="20"/>
          <w:szCs w:val="20"/>
          <w:highlight w:val="yellow"/>
        </w:rPr>
      </w:pPr>
    </w:p>
    <w:p w:rsidR="00B242EC" w:rsidRPr="002C1AF2" w:rsidRDefault="00B242EC" w:rsidP="00E343B9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BF51C2">
        <w:rPr>
          <w:rFonts w:ascii="Times New Roman" w:hAnsi="Times New Roman"/>
          <w:sz w:val="20"/>
          <w:szCs w:val="20"/>
        </w:rPr>
        <w:t>Intézmény finanszírozásként</w:t>
      </w:r>
      <w:proofErr w:type="gramEnd"/>
      <w:r w:rsidRPr="00BF51C2">
        <w:rPr>
          <w:rFonts w:ascii="Times New Roman" w:hAnsi="Times New Roman"/>
          <w:sz w:val="20"/>
          <w:szCs w:val="20"/>
        </w:rPr>
        <w:t xml:space="preserve"> a Művelődési ház és Könyvtárnak </w:t>
      </w:r>
      <w:r w:rsidR="00E23FB1" w:rsidRPr="00BF51C2">
        <w:rPr>
          <w:rFonts w:ascii="Times New Roman" w:hAnsi="Times New Roman"/>
          <w:sz w:val="20"/>
          <w:szCs w:val="20"/>
        </w:rPr>
        <w:t>8.</w:t>
      </w:r>
      <w:r w:rsidR="00346D08">
        <w:rPr>
          <w:rFonts w:ascii="Times New Roman" w:hAnsi="Times New Roman"/>
          <w:sz w:val="20"/>
          <w:szCs w:val="20"/>
        </w:rPr>
        <w:t>627</w:t>
      </w:r>
      <w:r w:rsidR="00E23FB1" w:rsidRPr="00BF51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51C2">
        <w:rPr>
          <w:rFonts w:ascii="Times New Roman" w:hAnsi="Times New Roman"/>
          <w:sz w:val="20"/>
          <w:szCs w:val="20"/>
        </w:rPr>
        <w:t>eFt-ot</w:t>
      </w:r>
      <w:proofErr w:type="spellEnd"/>
      <w:r w:rsidRPr="00BF51C2">
        <w:rPr>
          <w:rFonts w:ascii="Times New Roman" w:hAnsi="Times New Roman"/>
          <w:sz w:val="20"/>
          <w:szCs w:val="20"/>
        </w:rPr>
        <w:t>, az</w:t>
      </w:r>
      <w:r w:rsidRPr="002C1AF2">
        <w:rPr>
          <w:rFonts w:ascii="Times New Roman" w:hAnsi="Times New Roman"/>
          <w:sz w:val="20"/>
          <w:szCs w:val="20"/>
        </w:rPr>
        <w:t xml:space="preserve"> Egységes Óvoda-bölcsődének 48.194 </w:t>
      </w:r>
      <w:proofErr w:type="spellStart"/>
      <w:r w:rsidRPr="002C1AF2">
        <w:rPr>
          <w:rFonts w:ascii="Times New Roman" w:hAnsi="Times New Roman"/>
          <w:sz w:val="20"/>
          <w:szCs w:val="20"/>
        </w:rPr>
        <w:t>eFt-ot</w:t>
      </w:r>
      <w:proofErr w:type="spellEnd"/>
      <w:r w:rsidRPr="002C1AF2">
        <w:rPr>
          <w:rFonts w:ascii="Times New Roman" w:hAnsi="Times New Roman"/>
          <w:sz w:val="20"/>
          <w:szCs w:val="20"/>
        </w:rPr>
        <w:t xml:space="preserve"> adunk át.</w:t>
      </w:r>
    </w:p>
    <w:p w:rsidR="00B242EC" w:rsidRPr="009E4E4A" w:rsidRDefault="00B242EC" w:rsidP="00E343B9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21424D" w:rsidRDefault="00B242EC" w:rsidP="00E343B9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21424D">
        <w:rPr>
          <w:rFonts w:ascii="Times New Roman" w:hAnsi="Times New Roman"/>
          <w:b w:val="0"/>
          <w:i/>
          <w:sz w:val="20"/>
          <w:szCs w:val="20"/>
        </w:rPr>
        <w:t>Tartalékok</w:t>
      </w:r>
    </w:p>
    <w:p w:rsidR="00B242EC" w:rsidRPr="0021424D" w:rsidRDefault="00B242EC" w:rsidP="00E343B9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242EC" w:rsidRPr="0021424D" w:rsidRDefault="00B242EC" w:rsidP="00E343B9">
      <w:pPr>
        <w:jc w:val="both"/>
        <w:rPr>
          <w:rFonts w:ascii="Times New Roman" w:hAnsi="Times New Roman"/>
          <w:sz w:val="20"/>
          <w:szCs w:val="20"/>
        </w:rPr>
      </w:pPr>
      <w:r w:rsidRPr="0021424D">
        <w:rPr>
          <w:rFonts w:ascii="Times New Roman" w:hAnsi="Times New Roman"/>
          <w:sz w:val="20"/>
          <w:szCs w:val="20"/>
        </w:rPr>
        <w:t xml:space="preserve">A tervezett bevételek és kiadások teljesülése esetén az önkormányzat 2015. évi összes tartaléka </w:t>
      </w:r>
      <w:r w:rsidR="007E4036" w:rsidRPr="0021424D">
        <w:rPr>
          <w:rFonts w:ascii="Times New Roman" w:hAnsi="Times New Roman"/>
          <w:sz w:val="20"/>
          <w:szCs w:val="20"/>
        </w:rPr>
        <w:t>21.543</w:t>
      </w:r>
      <w:r w:rsidRPr="00214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424D">
        <w:rPr>
          <w:rFonts w:ascii="Times New Roman" w:hAnsi="Times New Roman"/>
          <w:sz w:val="20"/>
          <w:szCs w:val="20"/>
        </w:rPr>
        <w:t>eFt</w:t>
      </w:r>
      <w:proofErr w:type="spellEnd"/>
      <w:r w:rsidRPr="0021424D">
        <w:rPr>
          <w:rFonts w:ascii="Times New Roman" w:hAnsi="Times New Roman"/>
          <w:sz w:val="20"/>
          <w:szCs w:val="20"/>
        </w:rPr>
        <w:t xml:space="preserve">, amely összegből </w:t>
      </w:r>
    </w:p>
    <w:p w:rsidR="00B242EC" w:rsidRPr="0021424D" w:rsidRDefault="00B242EC" w:rsidP="00E343B9">
      <w:pPr>
        <w:jc w:val="both"/>
        <w:rPr>
          <w:rFonts w:ascii="Times New Roman" w:hAnsi="Times New Roman"/>
          <w:sz w:val="20"/>
          <w:szCs w:val="20"/>
        </w:rPr>
      </w:pPr>
      <w:r w:rsidRPr="0021424D">
        <w:rPr>
          <w:rFonts w:ascii="Times New Roman" w:hAnsi="Times New Roman"/>
          <w:sz w:val="20"/>
          <w:szCs w:val="20"/>
        </w:rPr>
        <w:t xml:space="preserve">- céltartalék (elkötelezettség </w:t>
      </w:r>
      <w:proofErr w:type="spellStart"/>
      <w:r w:rsidRPr="0021424D">
        <w:rPr>
          <w:rFonts w:ascii="Times New Roman" w:hAnsi="Times New Roman"/>
          <w:sz w:val="20"/>
          <w:szCs w:val="20"/>
        </w:rPr>
        <w:t>pénzm</w:t>
      </w:r>
      <w:proofErr w:type="spellEnd"/>
      <w:r w:rsidRPr="0021424D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1424D">
        <w:rPr>
          <w:rFonts w:ascii="Times New Roman" w:hAnsi="Times New Roman"/>
          <w:sz w:val="20"/>
          <w:szCs w:val="20"/>
        </w:rPr>
        <w:t>terhére</w:t>
      </w:r>
      <w:proofErr w:type="gramEnd"/>
      <w:r w:rsidRPr="0021424D">
        <w:rPr>
          <w:rFonts w:ascii="Times New Roman" w:hAnsi="Times New Roman"/>
          <w:sz w:val="20"/>
          <w:szCs w:val="20"/>
        </w:rPr>
        <w:t xml:space="preserve">):    </w:t>
      </w:r>
      <w:r w:rsidR="007E4036" w:rsidRPr="0021424D">
        <w:rPr>
          <w:rFonts w:ascii="Times New Roman" w:hAnsi="Times New Roman"/>
          <w:sz w:val="20"/>
          <w:szCs w:val="20"/>
        </w:rPr>
        <w:t>11.397</w:t>
      </w:r>
      <w:r w:rsidRPr="00214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424D">
        <w:rPr>
          <w:rFonts w:ascii="Times New Roman" w:hAnsi="Times New Roman"/>
          <w:sz w:val="20"/>
          <w:szCs w:val="20"/>
        </w:rPr>
        <w:t>eFt</w:t>
      </w:r>
      <w:proofErr w:type="spellEnd"/>
      <w:r w:rsidRPr="0021424D">
        <w:rPr>
          <w:rFonts w:ascii="Times New Roman" w:hAnsi="Times New Roman"/>
          <w:sz w:val="20"/>
          <w:szCs w:val="20"/>
        </w:rPr>
        <w:t xml:space="preserve"> </w:t>
      </w:r>
    </w:p>
    <w:p w:rsidR="00B242EC" w:rsidRPr="0021424D" w:rsidRDefault="00B242EC" w:rsidP="00E343B9">
      <w:pPr>
        <w:jc w:val="both"/>
        <w:rPr>
          <w:rFonts w:ascii="Times New Roman" w:hAnsi="Times New Roman"/>
          <w:sz w:val="20"/>
          <w:szCs w:val="20"/>
        </w:rPr>
      </w:pPr>
      <w:r w:rsidRPr="0021424D">
        <w:rPr>
          <w:rFonts w:ascii="Times New Roman" w:hAnsi="Times New Roman"/>
          <w:sz w:val="20"/>
          <w:szCs w:val="20"/>
        </w:rPr>
        <w:t>- általános tartalék</w:t>
      </w:r>
      <w:proofErr w:type="gramStart"/>
      <w:r w:rsidRPr="0021424D">
        <w:rPr>
          <w:rFonts w:ascii="Times New Roman" w:hAnsi="Times New Roman"/>
          <w:sz w:val="20"/>
          <w:szCs w:val="20"/>
        </w:rPr>
        <w:t xml:space="preserve">:                 </w:t>
      </w:r>
      <w:r w:rsidR="007E4036" w:rsidRPr="0021424D">
        <w:rPr>
          <w:rFonts w:ascii="Times New Roman" w:hAnsi="Times New Roman"/>
          <w:sz w:val="20"/>
          <w:szCs w:val="20"/>
        </w:rPr>
        <w:t xml:space="preserve">                             </w:t>
      </w:r>
      <w:r w:rsidR="00092D0C" w:rsidRPr="0021424D">
        <w:rPr>
          <w:rFonts w:ascii="Times New Roman" w:hAnsi="Times New Roman"/>
          <w:sz w:val="20"/>
          <w:szCs w:val="20"/>
        </w:rPr>
        <w:t>10</w:t>
      </w:r>
      <w:proofErr w:type="gramEnd"/>
      <w:r w:rsidR="00092D0C" w:rsidRPr="0021424D">
        <w:rPr>
          <w:rFonts w:ascii="Times New Roman" w:hAnsi="Times New Roman"/>
          <w:sz w:val="20"/>
          <w:szCs w:val="20"/>
        </w:rPr>
        <w:t xml:space="preserve">.146 </w:t>
      </w:r>
      <w:proofErr w:type="spellStart"/>
      <w:r w:rsidRPr="0021424D">
        <w:rPr>
          <w:rFonts w:ascii="Times New Roman" w:hAnsi="Times New Roman"/>
          <w:sz w:val="20"/>
          <w:szCs w:val="20"/>
        </w:rPr>
        <w:t>eFt</w:t>
      </w:r>
      <w:proofErr w:type="spellEnd"/>
      <w:r w:rsidRPr="0021424D">
        <w:rPr>
          <w:rFonts w:ascii="Times New Roman" w:hAnsi="Times New Roman"/>
          <w:sz w:val="20"/>
          <w:szCs w:val="20"/>
        </w:rPr>
        <w:t>.</w:t>
      </w:r>
    </w:p>
    <w:p w:rsidR="00B242EC" w:rsidRDefault="00B242EC" w:rsidP="00E343B9">
      <w:pPr>
        <w:jc w:val="both"/>
        <w:rPr>
          <w:rFonts w:ascii="Times New Roman" w:hAnsi="Times New Roman"/>
          <w:sz w:val="24"/>
          <w:highlight w:val="yellow"/>
        </w:rPr>
      </w:pPr>
    </w:p>
    <w:p w:rsidR="0021424D" w:rsidRPr="00FE1767" w:rsidRDefault="0021424D" w:rsidP="00E343B9">
      <w:pPr>
        <w:jc w:val="both"/>
        <w:rPr>
          <w:rFonts w:ascii="Times New Roman" w:hAnsi="Times New Roman"/>
          <w:sz w:val="20"/>
          <w:szCs w:val="20"/>
        </w:rPr>
      </w:pPr>
      <w:r w:rsidRPr="00FE1767">
        <w:rPr>
          <w:rFonts w:ascii="Times New Roman" w:hAnsi="Times New Roman"/>
          <w:sz w:val="20"/>
          <w:szCs w:val="20"/>
        </w:rPr>
        <w:t xml:space="preserve">Az általános tartalék szolgál fedezetül a napkollektorok önrészére, az intézmények állagmegóvásához szükséges karbantartási költségekre, az esetleges </w:t>
      </w:r>
      <w:proofErr w:type="spellStart"/>
      <w:r w:rsidRPr="00FE1767">
        <w:rPr>
          <w:rFonts w:ascii="Times New Roman" w:hAnsi="Times New Roman"/>
          <w:sz w:val="20"/>
          <w:szCs w:val="20"/>
        </w:rPr>
        <w:t>cafetéria</w:t>
      </w:r>
      <w:proofErr w:type="spellEnd"/>
      <w:r w:rsidRPr="00FE1767">
        <w:rPr>
          <w:rFonts w:ascii="Times New Roman" w:hAnsi="Times New Roman"/>
          <w:sz w:val="20"/>
          <w:szCs w:val="20"/>
        </w:rPr>
        <w:t xml:space="preserve"> juttatásokra, valamint az előre nem látható, váratlan kiadásokra.</w:t>
      </w:r>
    </w:p>
    <w:p w:rsidR="0021424D" w:rsidRPr="009E4E4A" w:rsidRDefault="0021424D" w:rsidP="00E343B9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Pr="006D4F9A" w:rsidRDefault="00B242EC" w:rsidP="000C3B31">
      <w:pPr>
        <w:rPr>
          <w:rFonts w:ascii="Times New Roman" w:hAnsi="Times New Roman"/>
          <w:b/>
          <w:sz w:val="24"/>
        </w:rPr>
      </w:pPr>
      <w:r w:rsidRPr="006D4F9A">
        <w:rPr>
          <w:rFonts w:ascii="Times New Roman" w:hAnsi="Times New Roman"/>
          <w:b/>
          <w:sz w:val="24"/>
        </w:rPr>
        <w:t>II. Piliscsévi Közös Önkormányzati Hivatal költségvetése</w:t>
      </w:r>
    </w:p>
    <w:p w:rsidR="00B242EC" w:rsidRPr="006D4F9A" w:rsidRDefault="00B242EC" w:rsidP="00921CF8">
      <w:pPr>
        <w:pStyle w:val="Cmsor1"/>
        <w:rPr>
          <w:rFonts w:ascii="Times New Roman" w:hAnsi="Times New Roman"/>
          <w:sz w:val="24"/>
        </w:rPr>
      </w:pPr>
    </w:p>
    <w:p w:rsidR="00B242EC" w:rsidRPr="006D4F9A" w:rsidRDefault="00B242EC" w:rsidP="00921CF8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6D4F9A">
        <w:rPr>
          <w:rFonts w:ascii="Times New Roman" w:hAnsi="Times New Roman"/>
          <w:szCs w:val="22"/>
        </w:rPr>
        <w:t xml:space="preserve">1.Bevételek </w:t>
      </w:r>
    </w:p>
    <w:p w:rsidR="00B242EC" w:rsidRPr="006D4F9A" w:rsidRDefault="00B242EC" w:rsidP="000C3B31">
      <w:pPr>
        <w:rPr>
          <w:rFonts w:ascii="Times New Roman" w:hAnsi="Times New Roman"/>
          <w:i/>
          <w:sz w:val="24"/>
        </w:rPr>
      </w:pPr>
    </w:p>
    <w:p w:rsidR="00B242EC" w:rsidRPr="006D4F9A" w:rsidRDefault="00B242EC" w:rsidP="000C3B31">
      <w:pPr>
        <w:rPr>
          <w:rFonts w:ascii="Times New Roman" w:hAnsi="Times New Roman"/>
          <w:i/>
          <w:sz w:val="20"/>
          <w:szCs w:val="20"/>
        </w:rPr>
      </w:pPr>
      <w:proofErr w:type="gramStart"/>
      <w:r w:rsidRPr="006D4F9A">
        <w:rPr>
          <w:rFonts w:ascii="Times New Roman" w:hAnsi="Times New Roman"/>
          <w:i/>
          <w:sz w:val="20"/>
          <w:szCs w:val="20"/>
        </w:rPr>
        <w:t>Intézmény finanszírozás</w:t>
      </w:r>
      <w:proofErr w:type="gramEnd"/>
    </w:p>
    <w:p w:rsidR="00B242EC" w:rsidRPr="009E4E4A" w:rsidRDefault="00B242EC" w:rsidP="000C3B31">
      <w:pPr>
        <w:rPr>
          <w:rFonts w:ascii="Times New Roman" w:hAnsi="Times New Roman"/>
          <w:i/>
          <w:sz w:val="20"/>
          <w:szCs w:val="20"/>
          <w:highlight w:val="yellow"/>
        </w:rPr>
      </w:pPr>
    </w:p>
    <w:p w:rsidR="00B242EC" w:rsidRPr="006D4F9A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6D4F9A">
        <w:rPr>
          <w:rFonts w:ascii="Times New Roman" w:hAnsi="Times New Roman"/>
          <w:sz w:val="20"/>
          <w:szCs w:val="20"/>
        </w:rPr>
        <w:t xml:space="preserve">Az önkormányzati hivatal működéséhez az állam 55.326 </w:t>
      </w:r>
      <w:proofErr w:type="spellStart"/>
      <w:r w:rsidRPr="006D4F9A">
        <w:rPr>
          <w:rFonts w:ascii="Times New Roman" w:hAnsi="Times New Roman"/>
          <w:sz w:val="20"/>
          <w:szCs w:val="20"/>
        </w:rPr>
        <w:t>eF</w:t>
      </w:r>
      <w:r w:rsidR="00A24378">
        <w:rPr>
          <w:rFonts w:ascii="Times New Roman" w:hAnsi="Times New Roman"/>
          <w:sz w:val="20"/>
          <w:szCs w:val="20"/>
        </w:rPr>
        <w:t>t-tal</w:t>
      </w:r>
      <w:proofErr w:type="spellEnd"/>
      <w:r w:rsidR="00A24378">
        <w:rPr>
          <w:rFonts w:ascii="Times New Roman" w:hAnsi="Times New Roman"/>
          <w:sz w:val="20"/>
          <w:szCs w:val="20"/>
        </w:rPr>
        <w:t xml:space="preserve"> járul hozzá. Ez az összeg, valamint a pénzmaradvány, </w:t>
      </w:r>
      <w:r w:rsidRPr="006D4F9A">
        <w:rPr>
          <w:rFonts w:ascii="Times New Roman" w:hAnsi="Times New Roman"/>
          <w:sz w:val="20"/>
          <w:szCs w:val="20"/>
        </w:rPr>
        <w:t xml:space="preserve">teljes mértékben fedezi a hivatal bér és járulék költségeit, valamint a dologi kiadásokat. </w:t>
      </w:r>
    </w:p>
    <w:p w:rsidR="00B242EC" w:rsidRPr="006D4F9A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6D4F9A">
        <w:rPr>
          <w:rFonts w:ascii="Times New Roman" w:hAnsi="Times New Roman"/>
          <w:sz w:val="20"/>
          <w:szCs w:val="20"/>
        </w:rPr>
        <w:t xml:space="preserve">Itt szerepel továbbá a </w:t>
      </w:r>
      <w:proofErr w:type="spellStart"/>
      <w:r w:rsidRPr="006D4F9A">
        <w:rPr>
          <w:rFonts w:ascii="Times New Roman" w:hAnsi="Times New Roman"/>
          <w:sz w:val="20"/>
          <w:szCs w:val="20"/>
        </w:rPr>
        <w:t>piliscsévi</w:t>
      </w:r>
      <w:proofErr w:type="spellEnd"/>
      <w:r w:rsidRPr="006D4F9A">
        <w:rPr>
          <w:rFonts w:ascii="Times New Roman" w:hAnsi="Times New Roman"/>
          <w:sz w:val="20"/>
          <w:szCs w:val="20"/>
        </w:rPr>
        <w:t xml:space="preserve"> segélyek kifizetéséhez szükséges önerő összege, 400 </w:t>
      </w:r>
      <w:proofErr w:type="spellStart"/>
      <w:r w:rsidRPr="006D4F9A">
        <w:rPr>
          <w:rFonts w:ascii="Times New Roman" w:hAnsi="Times New Roman"/>
          <w:sz w:val="20"/>
          <w:szCs w:val="20"/>
        </w:rPr>
        <w:t>eFt</w:t>
      </w:r>
      <w:proofErr w:type="spellEnd"/>
      <w:r w:rsidRPr="006D4F9A">
        <w:rPr>
          <w:rFonts w:ascii="Times New Roman" w:hAnsi="Times New Roman"/>
          <w:sz w:val="20"/>
          <w:szCs w:val="20"/>
        </w:rPr>
        <w:t>. Ezt Piliscsév önkormányzati hozzájárulásként adja át.</w:t>
      </w:r>
    </w:p>
    <w:p w:rsidR="00B242EC" w:rsidRPr="009E4E4A" w:rsidRDefault="00B242EC" w:rsidP="004130FE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Pr="003A6675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3A6675">
        <w:rPr>
          <w:rFonts w:ascii="Times New Roman" w:hAnsi="Times New Roman"/>
          <w:i/>
          <w:sz w:val="20"/>
          <w:szCs w:val="20"/>
        </w:rPr>
        <w:t>Önkormányzattól átvett pénz</w:t>
      </w:r>
    </w:p>
    <w:p w:rsidR="00B242EC" w:rsidRPr="003A6675" w:rsidRDefault="00B242EC" w:rsidP="004130FE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3A6675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3A6675">
        <w:rPr>
          <w:rFonts w:ascii="Times New Roman" w:hAnsi="Times New Roman"/>
          <w:sz w:val="20"/>
          <w:szCs w:val="20"/>
        </w:rPr>
        <w:t xml:space="preserve">Ez a sor tartalmazza a leányvári segélyek kifizetéséhez szükséges önerő összegét, 300 </w:t>
      </w:r>
      <w:proofErr w:type="spellStart"/>
      <w:r w:rsidRPr="003A6675">
        <w:rPr>
          <w:rFonts w:ascii="Times New Roman" w:hAnsi="Times New Roman"/>
          <w:sz w:val="20"/>
          <w:szCs w:val="20"/>
        </w:rPr>
        <w:t>eFt-ot</w:t>
      </w:r>
      <w:proofErr w:type="spellEnd"/>
      <w:r w:rsidRPr="003A6675">
        <w:rPr>
          <w:rFonts w:ascii="Times New Roman" w:hAnsi="Times New Roman"/>
          <w:sz w:val="20"/>
          <w:szCs w:val="20"/>
        </w:rPr>
        <w:t xml:space="preserve"> (önkormányzati hozzájárulás).</w:t>
      </w:r>
    </w:p>
    <w:p w:rsidR="00B242EC" w:rsidRPr="009E4E4A" w:rsidRDefault="00B242EC" w:rsidP="004130FE">
      <w:pPr>
        <w:jc w:val="both"/>
        <w:rPr>
          <w:rFonts w:ascii="Times New Roman" w:hAnsi="Times New Roman"/>
          <w:sz w:val="24"/>
          <w:highlight w:val="yellow"/>
        </w:rPr>
      </w:pPr>
    </w:p>
    <w:p w:rsidR="00B242EC" w:rsidRPr="003A6675" w:rsidRDefault="00B242EC" w:rsidP="00113CB1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3A6675">
        <w:rPr>
          <w:rFonts w:ascii="Times New Roman" w:hAnsi="Times New Roman"/>
          <w:szCs w:val="22"/>
        </w:rPr>
        <w:t xml:space="preserve">2. Kiadások </w:t>
      </w:r>
    </w:p>
    <w:p w:rsidR="00B242EC" w:rsidRPr="009E4E4A" w:rsidRDefault="00B242EC" w:rsidP="004130FE">
      <w:pPr>
        <w:jc w:val="both"/>
        <w:rPr>
          <w:rFonts w:ascii="Times New Roman" w:hAnsi="Times New Roman"/>
          <w:sz w:val="24"/>
          <w:highlight w:val="yellow"/>
        </w:rPr>
      </w:pPr>
      <w:r w:rsidRPr="009E4E4A">
        <w:rPr>
          <w:rFonts w:ascii="Times New Roman" w:hAnsi="Times New Roman"/>
          <w:i/>
          <w:sz w:val="24"/>
          <w:highlight w:val="yellow"/>
        </w:rPr>
        <w:t xml:space="preserve"> </w:t>
      </w:r>
    </w:p>
    <w:p w:rsidR="00B242EC" w:rsidRPr="003A6675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3A6675">
        <w:rPr>
          <w:rFonts w:ascii="Times New Roman" w:hAnsi="Times New Roman"/>
          <w:i/>
          <w:sz w:val="20"/>
          <w:szCs w:val="20"/>
        </w:rPr>
        <w:t>Személyi juttatások és a munkaadót terhelő járulékok</w:t>
      </w:r>
    </w:p>
    <w:p w:rsidR="00B242EC" w:rsidRPr="009E4E4A" w:rsidRDefault="00B242EC" w:rsidP="004130FE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3A6675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3A6675">
        <w:rPr>
          <w:rFonts w:ascii="Times New Roman" w:hAnsi="Times New Roman"/>
          <w:sz w:val="20"/>
          <w:szCs w:val="20"/>
        </w:rPr>
        <w:t>A Közös Hivatal bér és járulék kiadásait a</w:t>
      </w:r>
      <w:r w:rsidRPr="003A6675">
        <w:rPr>
          <w:rFonts w:ascii="Times New Roman" w:hAnsi="Times New Roman"/>
          <w:i/>
          <w:sz w:val="20"/>
          <w:szCs w:val="20"/>
        </w:rPr>
        <w:t xml:space="preserve"> II.3. </w:t>
      </w:r>
      <w:proofErr w:type="gramStart"/>
      <w:r w:rsidRPr="003A6675">
        <w:rPr>
          <w:rFonts w:ascii="Times New Roman" w:hAnsi="Times New Roman"/>
          <w:i/>
          <w:sz w:val="20"/>
          <w:szCs w:val="20"/>
        </w:rPr>
        <w:t>melléklet</w:t>
      </w:r>
      <w:proofErr w:type="gramEnd"/>
      <w:r w:rsidRPr="003A6675">
        <w:rPr>
          <w:rFonts w:ascii="Times New Roman" w:hAnsi="Times New Roman"/>
          <w:sz w:val="20"/>
          <w:szCs w:val="20"/>
        </w:rPr>
        <w:t xml:space="preserve"> mutatja be részletesen.</w:t>
      </w:r>
    </w:p>
    <w:p w:rsidR="00B242EC" w:rsidRPr="009E4E4A" w:rsidRDefault="00B242EC" w:rsidP="004130FE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230434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230434">
        <w:rPr>
          <w:rFonts w:ascii="Times New Roman" w:hAnsi="Times New Roman"/>
          <w:sz w:val="20"/>
          <w:szCs w:val="20"/>
        </w:rPr>
        <w:t>Az előző évhez viszonyítva a személyi juttatások összege az alábbiak miatt nőtt:</w:t>
      </w:r>
    </w:p>
    <w:p w:rsidR="00B242EC" w:rsidRPr="00230434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230434">
        <w:rPr>
          <w:rFonts w:ascii="Times New Roman" w:hAnsi="Times New Roman"/>
          <w:sz w:val="20"/>
          <w:szCs w:val="20"/>
        </w:rPr>
        <w:t>- 3 dolgozó illetményének a garantált bérminimumra történő kiegészítése</w:t>
      </w:r>
    </w:p>
    <w:p w:rsidR="00B242EC" w:rsidRPr="00230434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230434">
        <w:rPr>
          <w:rFonts w:ascii="Times New Roman" w:hAnsi="Times New Roman"/>
          <w:sz w:val="20"/>
          <w:szCs w:val="20"/>
        </w:rPr>
        <w:t>- 1 dolgozó átsorolása felsőfokú végzettség megszerzése miatt (2014-ben 6 hónapig magasabb bér, 2015-ben 12 hónapig)</w:t>
      </w:r>
    </w:p>
    <w:p w:rsidR="003C05D2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230434">
        <w:rPr>
          <w:rFonts w:ascii="Times New Roman" w:hAnsi="Times New Roman"/>
          <w:sz w:val="20"/>
          <w:szCs w:val="20"/>
        </w:rPr>
        <w:t>- 1</w:t>
      </w:r>
      <w:r w:rsidR="00BA5A01" w:rsidRPr="00230434">
        <w:rPr>
          <w:rFonts w:ascii="Times New Roman" w:hAnsi="Times New Roman"/>
          <w:sz w:val="20"/>
          <w:szCs w:val="20"/>
        </w:rPr>
        <w:t>középfokú végzettségű dolgozó helyett 1 felsőfokú végzettségű dolgozó alkalmazása</w:t>
      </w:r>
    </w:p>
    <w:p w:rsidR="00B242EC" w:rsidRPr="00230434" w:rsidRDefault="003C05D2" w:rsidP="004130F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 fő részmunkaidős dolgozó alkalmazása.</w:t>
      </w:r>
      <w:r w:rsidR="00BA5A01" w:rsidRPr="00230434">
        <w:rPr>
          <w:rFonts w:ascii="Times New Roman" w:hAnsi="Times New Roman"/>
          <w:sz w:val="20"/>
          <w:szCs w:val="20"/>
        </w:rPr>
        <w:t xml:space="preserve"> </w:t>
      </w:r>
      <w:r w:rsidR="00B242EC" w:rsidRPr="00230434">
        <w:rPr>
          <w:rFonts w:ascii="Times New Roman" w:hAnsi="Times New Roman"/>
          <w:sz w:val="20"/>
          <w:szCs w:val="20"/>
        </w:rPr>
        <w:t xml:space="preserve"> </w:t>
      </w:r>
    </w:p>
    <w:p w:rsidR="00B242EC" w:rsidRPr="00230434" w:rsidRDefault="00B242EC" w:rsidP="004130FE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CB23DF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CB23DF">
        <w:rPr>
          <w:rFonts w:ascii="Times New Roman" w:hAnsi="Times New Roman"/>
          <w:sz w:val="20"/>
          <w:szCs w:val="20"/>
        </w:rPr>
        <w:t xml:space="preserve">Tekintettel arra, hogy a köztisztviselők bérét meghatározó illetményalap </w:t>
      </w:r>
      <w:r w:rsidR="00CA5A83">
        <w:rPr>
          <w:rFonts w:ascii="Times New Roman" w:hAnsi="Times New Roman"/>
          <w:sz w:val="20"/>
          <w:szCs w:val="20"/>
        </w:rPr>
        <w:t xml:space="preserve">2006 óta nem emelkedett és </w:t>
      </w:r>
      <w:r w:rsidRPr="00CB23DF">
        <w:rPr>
          <w:rFonts w:ascii="Times New Roman" w:hAnsi="Times New Roman"/>
          <w:sz w:val="20"/>
          <w:szCs w:val="20"/>
        </w:rPr>
        <w:t xml:space="preserve">az idei évben sem </w:t>
      </w:r>
      <w:r w:rsidR="00CA5A83">
        <w:rPr>
          <w:rFonts w:ascii="Times New Roman" w:hAnsi="Times New Roman"/>
          <w:sz w:val="20"/>
          <w:szCs w:val="20"/>
        </w:rPr>
        <w:t>változik</w:t>
      </w:r>
      <w:r w:rsidRPr="00CB23DF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CB23DF">
        <w:rPr>
          <w:rFonts w:ascii="Times New Roman" w:hAnsi="Times New Roman"/>
          <w:sz w:val="20"/>
          <w:szCs w:val="20"/>
        </w:rPr>
        <w:t>a  települések</w:t>
      </w:r>
      <w:proofErr w:type="gramEnd"/>
      <w:r w:rsidRPr="00CB23DF">
        <w:rPr>
          <w:rFonts w:ascii="Times New Roman" w:hAnsi="Times New Roman"/>
          <w:sz w:val="20"/>
          <w:szCs w:val="20"/>
        </w:rPr>
        <w:t xml:space="preserve"> polgármesterei </w:t>
      </w:r>
      <w:r w:rsidR="00CA5A83">
        <w:rPr>
          <w:rFonts w:ascii="Times New Roman" w:hAnsi="Times New Roman"/>
          <w:sz w:val="20"/>
          <w:szCs w:val="20"/>
        </w:rPr>
        <w:t>és</w:t>
      </w:r>
      <w:r w:rsidRPr="00CB23DF">
        <w:rPr>
          <w:rFonts w:ascii="Times New Roman" w:hAnsi="Times New Roman"/>
          <w:sz w:val="20"/>
          <w:szCs w:val="20"/>
        </w:rPr>
        <w:t xml:space="preserve"> a jegyző javaslata, hogy a mérlegben céltartalékként elkülönítésre került összegből – az előző évhez hasonlóan - a hivatal dolgozói számára 8.000 Ft/fő/hó béren kívüli juttatás </w:t>
      </w:r>
      <w:r w:rsidRPr="003C05D2">
        <w:rPr>
          <w:rFonts w:ascii="Times New Roman" w:hAnsi="Times New Roman"/>
          <w:sz w:val="20"/>
          <w:szCs w:val="20"/>
        </w:rPr>
        <w:t>kerüljön megállapításra.</w:t>
      </w:r>
    </w:p>
    <w:p w:rsidR="00B242EC" w:rsidRPr="009E4E4A" w:rsidRDefault="00B242EC" w:rsidP="004130FE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992450" w:rsidRDefault="00B242EC" w:rsidP="004130FE">
      <w:pPr>
        <w:jc w:val="both"/>
        <w:rPr>
          <w:rFonts w:ascii="Times New Roman" w:hAnsi="Times New Roman"/>
          <w:sz w:val="20"/>
          <w:szCs w:val="20"/>
        </w:rPr>
      </w:pPr>
      <w:r w:rsidRPr="00992450">
        <w:rPr>
          <w:rFonts w:ascii="Times New Roman" w:hAnsi="Times New Roman"/>
          <w:i/>
          <w:sz w:val="20"/>
          <w:szCs w:val="20"/>
        </w:rPr>
        <w:lastRenderedPageBreak/>
        <w:t>Dologi kiadások</w:t>
      </w:r>
    </w:p>
    <w:p w:rsidR="00B242EC" w:rsidRPr="00992450" w:rsidRDefault="00B242EC" w:rsidP="00FB34FD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992450" w:rsidRDefault="00B242EC" w:rsidP="00FB34FD">
      <w:pPr>
        <w:jc w:val="both"/>
        <w:rPr>
          <w:rFonts w:ascii="Times New Roman" w:hAnsi="Times New Roman"/>
          <w:sz w:val="20"/>
          <w:szCs w:val="20"/>
        </w:rPr>
      </w:pPr>
      <w:r w:rsidRPr="00992450">
        <w:rPr>
          <w:rFonts w:ascii="Times New Roman" w:hAnsi="Times New Roman"/>
          <w:sz w:val="20"/>
          <w:szCs w:val="20"/>
        </w:rPr>
        <w:t xml:space="preserve">A közös hivatal dologi kiadásait a </w:t>
      </w:r>
      <w:r w:rsidRPr="00992450">
        <w:rPr>
          <w:rFonts w:ascii="Times New Roman" w:hAnsi="Times New Roman"/>
          <w:i/>
          <w:sz w:val="20"/>
          <w:szCs w:val="20"/>
        </w:rPr>
        <w:t xml:space="preserve">II.4. </w:t>
      </w:r>
      <w:proofErr w:type="gramStart"/>
      <w:r w:rsidRPr="00992450">
        <w:rPr>
          <w:rFonts w:ascii="Times New Roman" w:hAnsi="Times New Roman"/>
          <w:i/>
          <w:sz w:val="20"/>
          <w:szCs w:val="20"/>
        </w:rPr>
        <w:t>melléklet</w:t>
      </w:r>
      <w:proofErr w:type="gramEnd"/>
      <w:r w:rsidRPr="00992450">
        <w:rPr>
          <w:rFonts w:ascii="Times New Roman" w:hAnsi="Times New Roman"/>
          <w:sz w:val="20"/>
          <w:szCs w:val="20"/>
        </w:rPr>
        <w:t xml:space="preserve"> mutatja be részletesen.</w:t>
      </w:r>
    </w:p>
    <w:p w:rsidR="00B242EC" w:rsidRPr="009E4E4A" w:rsidRDefault="00B242EC" w:rsidP="008F61CF">
      <w:pPr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B242EC" w:rsidRPr="00992450" w:rsidRDefault="00B242EC" w:rsidP="008F61CF">
      <w:pPr>
        <w:jc w:val="both"/>
        <w:rPr>
          <w:rFonts w:ascii="Times New Roman" w:hAnsi="Times New Roman"/>
          <w:i/>
          <w:sz w:val="20"/>
          <w:szCs w:val="20"/>
        </w:rPr>
      </w:pPr>
      <w:r w:rsidRPr="00992450">
        <w:rPr>
          <w:rFonts w:ascii="Times New Roman" w:hAnsi="Times New Roman"/>
          <w:i/>
          <w:sz w:val="20"/>
          <w:szCs w:val="20"/>
        </w:rPr>
        <w:t>Segélyek</w:t>
      </w:r>
    </w:p>
    <w:p w:rsidR="00B242EC" w:rsidRPr="00992450" w:rsidRDefault="00B242EC" w:rsidP="008F61CF">
      <w:pPr>
        <w:jc w:val="both"/>
        <w:rPr>
          <w:rFonts w:ascii="Times New Roman" w:hAnsi="Times New Roman"/>
          <w:i/>
          <w:sz w:val="20"/>
          <w:szCs w:val="20"/>
        </w:rPr>
      </w:pPr>
    </w:p>
    <w:p w:rsidR="00B242EC" w:rsidRPr="009E4E4A" w:rsidRDefault="00B242EC" w:rsidP="008F61CF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992450">
        <w:rPr>
          <w:rFonts w:ascii="Times New Roman" w:hAnsi="Times New Roman"/>
          <w:sz w:val="20"/>
          <w:szCs w:val="20"/>
        </w:rPr>
        <w:t xml:space="preserve">Törvény által a Hivatal hatáskörébe rendelt, visszaigényelhető segélyek önrészét tartalmazza a II.5. </w:t>
      </w:r>
      <w:proofErr w:type="gramStart"/>
      <w:r w:rsidRPr="00992450">
        <w:rPr>
          <w:rFonts w:ascii="Times New Roman" w:hAnsi="Times New Roman"/>
          <w:sz w:val="20"/>
          <w:szCs w:val="20"/>
        </w:rPr>
        <w:t>melléklet</w:t>
      </w:r>
      <w:proofErr w:type="gramEnd"/>
      <w:r w:rsidRPr="0099245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242EC" w:rsidRPr="009E0FA6" w:rsidRDefault="00B242EC" w:rsidP="008F61CF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9E0FA6" w:rsidRDefault="00B242EC" w:rsidP="008F61CF">
      <w:pPr>
        <w:jc w:val="both"/>
        <w:rPr>
          <w:rFonts w:ascii="Times New Roman" w:hAnsi="Times New Roman"/>
          <w:b/>
          <w:sz w:val="24"/>
        </w:rPr>
      </w:pPr>
      <w:r w:rsidRPr="009E0FA6">
        <w:rPr>
          <w:rFonts w:ascii="Times New Roman" w:hAnsi="Times New Roman"/>
          <w:b/>
          <w:sz w:val="24"/>
        </w:rPr>
        <w:t>III.</w:t>
      </w:r>
      <w:r w:rsidRPr="009E0FA6">
        <w:rPr>
          <w:rFonts w:ascii="Times New Roman" w:hAnsi="Times New Roman"/>
          <w:sz w:val="24"/>
        </w:rPr>
        <w:t xml:space="preserve"> </w:t>
      </w:r>
      <w:r w:rsidRPr="009E0FA6">
        <w:rPr>
          <w:rFonts w:ascii="Times New Roman" w:hAnsi="Times New Roman"/>
          <w:b/>
          <w:sz w:val="24"/>
        </w:rPr>
        <w:t xml:space="preserve">Művelődési ház és Könyvtár költségvetése </w:t>
      </w:r>
      <w:r w:rsidRPr="009E0FA6">
        <w:rPr>
          <w:rFonts w:ascii="Times New Roman" w:hAnsi="Times New Roman"/>
          <w:sz w:val="24"/>
        </w:rPr>
        <w:t xml:space="preserve">(III.1-4. </w:t>
      </w:r>
      <w:proofErr w:type="gramStart"/>
      <w:r w:rsidRPr="009E0FA6">
        <w:rPr>
          <w:rFonts w:ascii="Times New Roman" w:hAnsi="Times New Roman"/>
          <w:sz w:val="24"/>
        </w:rPr>
        <w:t>mellékletek</w:t>
      </w:r>
      <w:proofErr w:type="gramEnd"/>
      <w:r w:rsidRPr="009E0FA6">
        <w:rPr>
          <w:rFonts w:ascii="Times New Roman" w:hAnsi="Times New Roman"/>
          <w:sz w:val="24"/>
        </w:rPr>
        <w:t>)</w:t>
      </w:r>
    </w:p>
    <w:p w:rsidR="00B242EC" w:rsidRPr="009E0FA6" w:rsidRDefault="00B242EC" w:rsidP="00944136">
      <w:pPr>
        <w:pStyle w:val="Cmsor1"/>
        <w:rPr>
          <w:rFonts w:ascii="Times New Roman" w:hAnsi="Times New Roman"/>
          <w:sz w:val="24"/>
        </w:rPr>
      </w:pPr>
    </w:p>
    <w:p w:rsidR="00B242EC" w:rsidRPr="009E0FA6" w:rsidRDefault="00B242EC" w:rsidP="00944136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9E0FA6">
        <w:rPr>
          <w:rFonts w:ascii="Times New Roman" w:hAnsi="Times New Roman"/>
          <w:szCs w:val="22"/>
        </w:rPr>
        <w:t xml:space="preserve">1.Bevételek </w:t>
      </w:r>
    </w:p>
    <w:p w:rsidR="00B242EC" w:rsidRPr="009E0FA6" w:rsidRDefault="00B242EC" w:rsidP="008F0F14">
      <w:pPr>
        <w:jc w:val="both"/>
        <w:rPr>
          <w:rFonts w:ascii="Times New Roman" w:hAnsi="Times New Roman"/>
          <w:i/>
          <w:sz w:val="24"/>
        </w:rPr>
      </w:pPr>
    </w:p>
    <w:p w:rsidR="00B242EC" w:rsidRPr="000358F0" w:rsidRDefault="00B242EC" w:rsidP="008F0F14">
      <w:pPr>
        <w:jc w:val="both"/>
        <w:rPr>
          <w:rFonts w:ascii="Times New Roman" w:hAnsi="Times New Roman"/>
          <w:sz w:val="20"/>
          <w:szCs w:val="20"/>
        </w:rPr>
      </w:pPr>
      <w:r w:rsidRPr="000358F0">
        <w:rPr>
          <w:rFonts w:ascii="Times New Roman" w:hAnsi="Times New Roman"/>
          <w:i/>
          <w:sz w:val="20"/>
          <w:szCs w:val="20"/>
        </w:rPr>
        <w:t>Intézményi működési bevételként</w:t>
      </w:r>
      <w:r w:rsidRPr="000358F0">
        <w:rPr>
          <w:rFonts w:ascii="Times New Roman" w:hAnsi="Times New Roman"/>
          <w:sz w:val="20"/>
          <w:szCs w:val="20"/>
        </w:rPr>
        <w:t xml:space="preserve"> </w:t>
      </w:r>
      <w:r w:rsidR="003A315D" w:rsidRPr="000358F0">
        <w:rPr>
          <w:rFonts w:ascii="Times New Roman" w:hAnsi="Times New Roman"/>
          <w:sz w:val="20"/>
          <w:szCs w:val="20"/>
        </w:rPr>
        <w:t xml:space="preserve">450 </w:t>
      </w:r>
      <w:proofErr w:type="spellStart"/>
      <w:r w:rsidRPr="000358F0">
        <w:rPr>
          <w:rFonts w:ascii="Times New Roman" w:hAnsi="Times New Roman"/>
          <w:sz w:val="20"/>
          <w:szCs w:val="20"/>
        </w:rPr>
        <w:t>eFt</w:t>
      </w:r>
      <w:proofErr w:type="spellEnd"/>
      <w:r w:rsidRPr="000358F0">
        <w:rPr>
          <w:rFonts w:ascii="Times New Roman" w:hAnsi="Times New Roman"/>
          <w:sz w:val="20"/>
          <w:szCs w:val="20"/>
        </w:rPr>
        <w:t xml:space="preserve"> bérleti díjjal számolt az intézményvezető.</w:t>
      </w:r>
    </w:p>
    <w:p w:rsidR="00B242EC" w:rsidRPr="000358F0" w:rsidRDefault="00B242EC" w:rsidP="00944136">
      <w:pPr>
        <w:jc w:val="both"/>
        <w:rPr>
          <w:rFonts w:ascii="Times New Roman" w:hAnsi="Times New Roman"/>
          <w:sz w:val="20"/>
          <w:szCs w:val="20"/>
        </w:rPr>
      </w:pPr>
      <w:r w:rsidRPr="000358F0">
        <w:rPr>
          <w:rFonts w:ascii="Times New Roman" w:hAnsi="Times New Roman"/>
          <w:sz w:val="20"/>
          <w:szCs w:val="20"/>
        </w:rPr>
        <w:t xml:space="preserve">Az állami támogatás összege 2.771 </w:t>
      </w:r>
      <w:proofErr w:type="spellStart"/>
      <w:r w:rsidRPr="000358F0">
        <w:rPr>
          <w:rFonts w:ascii="Times New Roman" w:hAnsi="Times New Roman"/>
          <w:sz w:val="20"/>
          <w:szCs w:val="20"/>
        </w:rPr>
        <w:t>eFt</w:t>
      </w:r>
      <w:proofErr w:type="spellEnd"/>
      <w:r w:rsidRPr="000358F0">
        <w:rPr>
          <w:rFonts w:ascii="Times New Roman" w:hAnsi="Times New Roman"/>
          <w:sz w:val="20"/>
          <w:szCs w:val="20"/>
        </w:rPr>
        <w:t xml:space="preserve">, az intézmény pénzmaradványa </w:t>
      </w:r>
      <w:r w:rsidR="003A315D" w:rsidRPr="000358F0">
        <w:rPr>
          <w:rFonts w:ascii="Times New Roman" w:hAnsi="Times New Roman"/>
          <w:sz w:val="20"/>
          <w:szCs w:val="20"/>
        </w:rPr>
        <w:t>47</w:t>
      </w:r>
      <w:r w:rsidR="00340A22">
        <w:rPr>
          <w:rFonts w:ascii="Times New Roman" w:hAnsi="Times New Roman"/>
          <w:sz w:val="20"/>
          <w:szCs w:val="20"/>
        </w:rPr>
        <w:t>4</w:t>
      </w:r>
      <w:r w:rsidRPr="000358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58F0">
        <w:rPr>
          <w:rFonts w:ascii="Times New Roman" w:hAnsi="Times New Roman"/>
          <w:sz w:val="20"/>
          <w:szCs w:val="20"/>
        </w:rPr>
        <w:t>eFt</w:t>
      </w:r>
      <w:proofErr w:type="spellEnd"/>
      <w:r w:rsidRPr="000358F0">
        <w:rPr>
          <w:rFonts w:ascii="Times New Roman" w:hAnsi="Times New Roman"/>
          <w:sz w:val="20"/>
          <w:szCs w:val="20"/>
        </w:rPr>
        <w:t xml:space="preserve">, az önkormányzati hozzájárulás összege </w:t>
      </w:r>
      <w:r w:rsidR="003A315D" w:rsidRPr="000358F0">
        <w:rPr>
          <w:rFonts w:ascii="Times New Roman" w:hAnsi="Times New Roman"/>
          <w:sz w:val="20"/>
          <w:szCs w:val="20"/>
        </w:rPr>
        <w:t>5.</w:t>
      </w:r>
      <w:r w:rsidR="008B0ED3">
        <w:rPr>
          <w:rFonts w:ascii="Times New Roman" w:hAnsi="Times New Roman"/>
          <w:sz w:val="20"/>
          <w:szCs w:val="20"/>
        </w:rPr>
        <w:t>856</w:t>
      </w:r>
      <w:r w:rsidRPr="000358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58F0">
        <w:rPr>
          <w:rFonts w:ascii="Times New Roman" w:hAnsi="Times New Roman"/>
          <w:sz w:val="20"/>
          <w:szCs w:val="20"/>
        </w:rPr>
        <w:t>eFt</w:t>
      </w:r>
      <w:proofErr w:type="spellEnd"/>
      <w:r w:rsidRPr="000358F0">
        <w:rPr>
          <w:rFonts w:ascii="Times New Roman" w:hAnsi="Times New Roman"/>
          <w:sz w:val="20"/>
          <w:szCs w:val="20"/>
        </w:rPr>
        <w:t>.</w:t>
      </w:r>
    </w:p>
    <w:p w:rsidR="00B242EC" w:rsidRDefault="00B242EC" w:rsidP="008F0F14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C60CC" w:rsidRPr="00485FC9" w:rsidRDefault="00AC60CC" w:rsidP="008F0F14">
      <w:pPr>
        <w:jc w:val="both"/>
        <w:rPr>
          <w:rFonts w:ascii="Times New Roman" w:hAnsi="Times New Roman"/>
          <w:sz w:val="20"/>
          <w:szCs w:val="20"/>
        </w:rPr>
      </w:pPr>
      <w:r w:rsidRPr="00485FC9">
        <w:rPr>
          <w:rFonts w:ascii="Times New Roman" w:hAnsi="Times New Roman"/>
          <w:sz w:val="20"/>
          <w:szCs w:val="20"/>
        </w:rPr>
        <w:t xml:space="preserve">Várható, </w:t>
      </w:r>
      <w:r w:rsidR="00952066" w:rsidRPr="00485FC9">
        <w:rPr>
          <w:rFonts w:ascii="Times New Roman" w:hAnsi="Times New Roman"/>
          <w:sz w:val="20"/>
          <w:szCs w:val="20"/>
        </w:rPr>
        <w:t xml:space="preserve">hogy </w:t>
      </w:r>
      <w:r w:rsidRPr="00485FC9">
        <w:rPr>
          <w:rFonts w:ascii="Times New Roman" w:hAnsi="Times New Roman"/>
          <w:sz w:val="20"/>
          <w:szCs w:val="20"/>
        </w:rPr>
        <w:t xml:space="preserve">2015-ben érkezik meg a Művelődési Ház számlájára az a pályázati összeg, amelyet az önkormányzat előlegezett meg pályázat előfinanszírozásként. </w:t>
      </w:r>
    </w:p>
    <w:p w:rsidR="00952066" w:rsidRDefault="00952066" w:rsidP="00944136">
      <w:pPr>
        <w:pStyle w:val="Cmsor1"/>
        <w:rPr>
          <w:rFonts w:ascii="Times New Roman" w:hAnsi="Times New Roman"/>
          <w:szCs w:val="22"/>
        </w:rPr>
      </w:pPr>
    </w:p>
    <w:p w:rsidR="00B242EC" w:rsidRPr="00BD3DEA" w:rsidRDefault="00B242EC" w:rsidP="00944136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BD3DEA">
        <w:rPr>
          <w:rFonts w:ascii="Times New Roman" w:hAnsi="Times New Roman"/>
          <w:szCs w:val="22"/>
        </w:rPr>
        <w:t xml:space="preserve">2. Kiadások </w:t>
      </w:r>
    </w:p>
    <w:p w:rsidR="00B242EC" w:rsidRPr="00BD3DEA" w:rsidRDefault="00B242EC" w:rsidP="008F0F14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BD3DEA" w:rsidRDefault="00B242EC" w:rsidP="008F0F14">
      <w:pPr>
        <w:jc w:val="both"/>
        <w:rPr>
          <w:rFonts w:ascii="Times New Roman" w:hAnsi="Times New Roman"/>
          <w:sz w:val="20"/>
          <w:szCs w:val="20"/>
        </w:rPr>
      </w:pPr>
      <w:r w:rsidRPr="00BD3DEA">
        <w:rPr>
          <w:rFonts w:ascii="Times New Roman" w:hAnsi="Times New Roman"/>
          <w:sz w:val="20"/>
          <w:szCs w:val="20"/>
        </w:rPr>
        <w:t>A személyi juttatások a törvény által kötelezően előírt emelést tartalmazzák (garantált bérminimum emelkedése)</w:t>
      </w:r>
      <w:r w:rsidR="005B617D">
        <w:rPr>
          <w:rFonts w:ascii="Times New Roman" w:hAnsi="Times New Roman"/>
          <w:sz w:val="20"/>
          <w:szCs w:val="20"/>
        </w:rPr>
        <w:t>, illetve a dolgozók számlavezetési díját (1.000 Ft/fő/hó)</w:t>
      </w:r>
      <w:r w:rsidRPr="00BD3DEA">
        <w:rPr>
          <w:rFonts w:ascii="Times New Roman" w:hAnsi="Times New Roman"/>
          <w:sz w:val="20"/>
          <w:szCs w:val="20"/>
        </w:rPr>
        <w:t>.</w:t>
      </w:r>
    </w:p>
    <w:p w:rsidR="00B242EC" w:rsidRPr="00BD3DEA" w:rsidRDefault="00B242EC" w:rsidP="008F0F14">
      <w:pPr>
        <w:jc w:val="both"/>
        <w:rPr>
          <w:rFonts w:ascii="Times New Roman" w:hAnsi="Times New Roman"/>
          <w:sz w:val="20"/>
          <w:szCs w:val="20"/>
        </w:rPr>
      </w:pPr>
      <w:r w:rsidRPr="00BD3DEA">
        <w:rPr>
          <w:rFonts w:ascii="Times New Roman" w:hAnsi="Times New Roman"/>
          <w:sz w:val="20"/>
          <w:szCs w:val="20"/>
        </w:rPr>
        <w:t>Az intézmény dologi k</w:t>
      </w:r>
      <w:r w:rsidR="00BD3DEA" w:rsidRPr="00BD3DEA">
        <w:rPr>
          <w:rFonts w:ascii="Times New Roman" w:hAnsi="Times New Roman"/>
          <w:sz w:val="20"/>
          <w:szCs w:val="20"/>
        </w:rPr>
        <w:t>iadásairól a III/4. számú melléklet tájékoztat.</w:t>
      </w:r>
      <w:r w:rsidRPr="00BD3DEA">
        <w:rPr>
          <w:rFonts w:ascii="Times New Roman" w:hAnsi="Times New Roman"/>
          <w:sz w:val="20"/>
          <w:szCs w:val="20"/>
        </w:rPr>
        <w:t xml:space="preserve"> </w:t>
      </w:r>
    </w:p>
    <w:p w:rsidR="00B242EC" w:rsidRPr="00BD3DEA" w:rsidRDefault="00B242EC" w:rsidP="008F0F14">
      <w:pPr>
        <w:jc w:val="both"/>
        <w:rPr>
          <w:rFonts w:ascii="Times New Roman" w:hAnsi="Times New Roman"/>
          <w:sz w:val="20"/>
          <w:szCs w:val="20"/>
        </w:rPr>
      </w:pPr>
      <w:r w:rsidRPr="00BD3DEA">
        <w:rPr>
          <w:rFonts w:ascii="Times New Roman" w:hAnsi="Times New Roman"/>
          <w:sz w:val="20"/>
          <w:szCs w:val="20"/>
        </w:rPr>
        <w:t>A Művelődési Ház és Könyvtár 2015. évi működési kiadásai összesen</w:t>
      </w:r>
      <w:r w:rsidR="00BD3DEA" w:rsidRPr="00BD3DEA">
        <w:rPr>
          <w:rFonts w:ascii="Times New Roman" w:hAnsi="Times New Roman"/>
          <w:sz w:val="20"/>
          <w:szCs w:val="20"/>
        </w:rPr>
        <w:t xml:space="preserve"> 9.</w:t>
      </w:r>
      <w:r w:rsidR="00AF718B">
        <w:rPr>
          <w:rFonts w:ascii="Times New Roman" w:hAnsi="Times New Roman"/>
          <w:sz w:val="20"/>
          <w:szCs w:val="20"/>
        </w:rPr>
        <w:t>55</w:t>
      </w:r>
      <w:r w:rsidR="00BD3DEA" w:rsidRPr="00BD3DEA">
        <w:rPr>
          <w:rFonts w:ascii="Times New Roman" w:hAnsi="Times New Roman"/>
          <w:sz w:val="20"/>
          <w:szCs w:val="20"/>
        </w:rPr>
        <w:t>1</w:t>
      </w:r>
      <w:r w:rsidRPr="00BD3D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3DEA">
        <w:rPr>
          <w:rFonts w:ascii="Times New Roman" w:hAnsi="Times New Roman"/>
          <w:sz w:val="20"/>
          <w:szCs w:val="20"/>
        </w:rPr>
        <w:t>eFt-ot</w:t>
      </w:r>
      <w:proofErr w:type="spellEnd"/>
      <w:r w:rsidRPr="00BD3DEA">
        <w:rPr>
          <w:rFonts w:ascii="Times New Roman" w:hAnsi="Times New Roman"/>
          <w:sz w:val="20"/>
          <w:szCs w:val="20"/>
        </w:rPr>
        <w:t xml:space="preserve"> tesznek ki.</w:t>
      </w:r>
    </w:p>
    <w:p w:rsidR="00B242EC" w:rsidRPr="009E4E4A" w:rsidRDefault="00B242EC" w:rsidP="008F0F14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0F5186" w:rsidRDefault="00B242EC" w:rsidP="008F0F14">
      <w:pPr>
        <w:jc w:val="both"/>
        <w:rPr>
          <w:rFonts w:ascii="Times New Roman" w:hAnsi="Times New Roman"/>
          <w:b/>
          <w:sz w:val="24"/>
        </w:rPr>
      </w:pPr>
      <w:r w:rsidRPr="000F5186">
        <w:rPr>
          <w:rFonts w:ascii="Times New Roman" w:hAnsi="Times New Roman"/>
          <w:b/>
          <w:sz w:val="24"/>
        </w:rPr>
        <w:t>IV. Piliscsévi „Aranykapu” Egységes Óvoda-bölcsőde</w:t>
      </w:r>
    </w:p>
    <w:p w:rsidR="00B242EC" w:rsidRPr="009E4E4A" w:rsidRDefault="00B242EC" w:rsidP="0081688F">
      <w:pPr>
        <w:pStyle w:val="Cmsor1"/>
        <w:rPr>
          <w:rFonts w:ascii="Times New Roman" w:hAnsi="Times New Roman"/>
          <w:sz w:val="24"/>
          <w:highlight w:val="yellow"/>
        </w:rPr>
      </w:pPr>
    </w:p>
    <w:p w:rsidR="00B242EC" w:rsidRPr="00572C82" w:rsidRDefault="00B242EC" w:rsidP="0081688F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572C82">
        <w:rPr>
          <w:rFonts w:ascii="Times New Roman" w:hAnsi="Times New Roman"/>
          <w:szCs w:val="22"/>
        </w:rPr>
        <w:t xml:space="preserve">1.Bevételek </w:t>
      </w:r>
    </w:p>
    <w:p w:rsidR="00B242EC" w:rsidRPr="00572C82" w:rsidRDefault="00B242EC" w:rsidP="0081688F">
      <w:pPr>
        <w:jc w:val="both"/>
        <w:rPr>
          <w:rFonts w:ascii="Times New Roman" w:hAnsi="Times New Roman"/>
          <w:i/>
          <w:sz w:val="24"/>
        </w:rPr>
      </w:pPr>
    </w:p>
    <w:p w:rsidR="00B242EC" w:rsidRPr="00572C82" w:rsidRDefault="00B242EC" w:rsidP="0081688F">
      <w:pPr>
        <w:jc w:val="both"/>
        <w:rPr>
          <w:rFonts w:ascii="Times New Roman" w:hAnsi="Times New Roman"/>
          <w:sz w:val="20"/>
          <w:szCs w:val="20"/>
        </w:rPr>
      </w:pPr>
      <w:r w:rsidRPr="00572C82">
        <w:rPr>
          <w:rFonts w:ascii="Times New Roman" w:hAnsi="Times New Roman"/>
          <w:sz w:val="20"/>
          <w:szCs w:val="20"/>
        </w:rPr>
        <w:t xml:space="preserve">Az intézmény 2015. évi működésének finanszírozásához 50.320 </w:t>
      </w:r>
      <w:proofErr w:type="spellStart"/>
      <w:r w:rsidRPr="00572C82">
        <w:rPr>
          <w:rFonts w:ascii="Times New Roman" w:hAnsi="Times New Roman"/>
          <w:sz w:val="20"/>
          <w:szCs w:val="20"/>
        </w:rPr>
        <w:t>eFt</w:t>
      </w:r>
      <w:proofErr w:type="spellEnd"/>
      <w:r w:rsidRPr="00572C82">
        <w:rPr>
          <w:rFonts w:ascii="Times New Roman" w:hAnsi="Times New Roman"/>
          <w:sz w:val="20"/>
          <w:szCs w:val="20"/>
        </w:rPr>
        <w:t xml:space="preserve"> szükséges. Ehhez 44.774 </w:t>
      </w:r>
      <w:proofErr w:type="spellStart"/>
      <w:r w:rsidRPr="00572C82">
        <w:rPr>
          <w:rFonts w:ascii="Times New Roman" w:hAnsi="Times New Roman"/>
          <w:sz w:val="20"/>
          <w:szCs w:val="20"/>
        </w:rPr>
        <w:t>eFt-tal</w:t>
      </w:r>
      <w:proofErr w:type="spellEnd"/>
      <w:r w:rsidRPr="00572C82">
        <w:rPr>
          <w:rFonts w:ascii="Times New Roman" w:hAnsi="Times New Roman"/>
          <w:sz w:val="20"/>
          <w:szCs w:val="20"/>
        </w:rPr>
        <w:t xml:space="preserve"> járul hozzá az állam, az intézmény pénzmaradványa 2.126 </w:t>
      </w:r>
      <w:proofErr w:type="spellStart"/>
      <w:r w:rsidRPr="00572C82">
        <w:rPr>
          <w:rFonts w:ascii="Times New Roman" w:hAnsi="Times New Roman"/>
          <w:sz w:val="20"/>
          <w:szCs w:val="20"/>
        </w:rPr>
        <w:t>eFt</w:t>
      </w:r>
      <w:proofErr w:type="spellEnd"/>
      <w:r w:rsidRPr="00572C82">
        <w:rPr>
          <w:rFonts w:ascii="Times New Roman" w:hAnsi="Times New Roman"/>
          <w:sz w:val="20"/>
          <w:szCs w:val="20"/>
        </w:rPr>
        <w:t xml:space="preserve">, az önkormányzati hozzájárulás összege pedig 3.420 </w:t>
      </w:r>
      <w:proofErr w:type="spellStart"/>
      <w:r w:rsidRPr="00572C82">
        <w:rPr>
          <w:rFonts w:ascii="Times New Roman" w:hAnsi="Times New Roman"/>
          <w:sz w:val="20"/>
          <w:szCs w:val="20"/>
        </w:rPr>
        <w:t>eFt</w:t>
      </w:r>
      <w:proofErr w:type="spellEnd"/>
      <w:r w:rsidRPr="00572C82">
        <w:rPr>
          <w:rFonts w:ascii="Times New Roman" w:hAnsi="Times New Roman"/>
          <w:sz w:val="20"/>
          <w:szCs w:val="20"/>
        </w:rPr>
        <w:t>.</w:t>
      </w:r>
    </w:p>
    <w:p w:rsidR="00B242EC" w:rsidRPr="009E4E4A" w:rsidRDefault="00B242EC" w:rsidP="0081688F">
      <w:pPr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B242EC" w:rsidRPr="009E4E4A" w:rsidRDefault="00B242EC" w:rsidP="0081688F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BD3DEA" w:rsidRDefault="00B242EC" w:rsidP="0081688F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BD3DEA">
        <w:rPr>
          <w:rFonts w:ascii="Times New Roman" w:hAnsi="Times New Roman"/>
          <w:szCs w:val="22"/>
        </w:rPr>
        <w:t xml:space="preserve">2. Kiadások </w:t>
      </w:r>
    </w:p>
    <w:p w:rsidR="00B242EC" w:rsidRDefault="00B242EC" w:rsidP="00A87091">
      <w:pPr>
        <w:jc w:val="both"/>
        <w:rPr>
          <w:rFonts w:ascii="Times New Roman" w:hAnsi="Times New Roman"/>
          <w:sz w:val="20"/>
          <w:szCs w:val="20"/>
        </w:rPr>
      </w:pPr>
    </w:p>
    <w:p w:rsidR="00B242EC" w:rsidRDefault="00B242EC" w:rsidP="00A87091">
      <w:pPr>
        <w:jc w:val="both"/>
        <w:rPr>
          <w:rFonts w:ascii="Times New Roman" w:hAnsi="Times New Roman"/>
          <w:sz w:val="20"/>
          <w:szCs w:val="20"/>
        </w:rPr>
      </w:pPr>
      <w:r w:rsidRPr="00A87091">
        <w:rPr>
          <w:rFonts w:ascii="Times New Roman" w:hAnsi="Times New Roman"/>
          <w:i/>
          <w:sz w:val="20"/>
          <w:szCs w:val="20"/>
        </w:rPr>
        <w:t>Személyi kiadások</w:t>
      </w:r>
    </w:p>
    <w:p w:rsidR="00B242EC" w:rsidRDefault="00B242EC" w:rsidP="00A87091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A87091" w:rsidRDefault="00B242EC" w:rsidP="00A87091">
      <w:pPr>
        <w:jc w:val="both"/>
        <w:rPr>
          <w:rFonts w:ascii="Times New Roman" w:hAnsi="Times New Roman"/>
          <w:sz w:val="20"/>
          <w:szCs w:val="20"/>
        </w:rPr>
      </w:pPr>
      <w:r w:rsidRPr="00A87091">
        <w:rPr>
          <w:rFonts w:ascii="Times New Roman" w:hAnsi="Times New Roman"/>
          <w:sz w:val="20"/>
          <w:szCs w:val="20"/>
        </w:rPr>
        <w:t>Az intézmény engedélyezett személyi ellátottsága 14 fő.</w:t>
      </w:r>
    </w:p>
    <w:p w:rsidR="00B242EC" w:rsidRPr="00A87091" w:rsidRDefault="00B242EC" w:rsidP="00A87091">
      <w:pPr>
        <w:jc w:val="both"/>
        <w:rPr>
          <w:rFonts w:ascii="Times New Roman" w:hAnsi="Times New Roman"/>
          <w:sz w:val="20"/>
          <w:szCs w:val="20"/>
        </w:rPr>
      </w:pPr>
      <w:r w:rsidRPr="00A87091">
        <w:rPr>
          <w:rFonts w:ascii="Times New Roman" w:hAnsi="Times New Roman"/>
          <w:sz w:val="20"/>
          <w:szCs w:val="20"/>
        </w:rPr>
        <w:t>Az alapilletmények</w:t>
      </w:r>
      <w:r>
        <w:rPr>
          <w:rFonts w:ascii="Times New Roman" w:hAnsi="Times New Roman"/>
          <w:sz w:val="20"/>
          <w:szCs w:val="20"/>
        </w:rPr>
        <w:t>et</w:t>
      </w:r>
      <w:r w:rsidRPr="00A87091">
        <w:rPr>
          <w:rFonts w:ascii="Times New Roman" w:hAnsi="Times New Roman"/>
          <w:sz w:val="20"/>
          <w:szCs w:val="20"/>
        </w:rPr>
        <w:t xml:space="preserve"> a közalkalmazotti bértábla alapján </w:t>
      </w:r>
      <w:r>
        <w:rPr>
          <w:rFonts w:ascii="Times New Roman" w:hAnsi="Times New Roman"/>
          <w:sz w:val="20"/>
          <w:szCs w:val="20"/>
        </w:rPr>
        <w:t>tervezte az intézményvezető</w:t>
      </w:r>
      <w:r w:rsidRPr="00A87091">
        <w:rPr>
          <w:rFonts w:ascii="Times New Roman" w:hAnsi="Times New Roman"/>
          <w:sz w:val="20"/>
          <w:szCs w:val="20"/>
        </w:rPr>
        <w:t>, 5 fő soros lépővel, ill. a garantált b</w:t>
      </w:r>
      <w:r w:rsidR="009E1BDD">
        <w:rPr>
          <w:rFonts w:ascii="Times New Roman" w:hAnsi="Times New Roman"/>
          <w:sz w:val="20"/>
          <w:szCs w:val="20"/>
        </w:rPr>
        <w:t>érminimumra való kiegészítéssel, figyelembe véve a pedagógusok szeptemberi illetmény emelését.</w:t>
      </w:r>
    </w:p>
    <w:p w:rsidR="00B242EC" w:rsidRPr="00A87091" w:rsidRDefault="00B242EC" w:rsidP="00A870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bértömeg t</w:t>
      </w:r>
      <w:r w:rsidRPr="00A87091">
        <w:rPr>
          <w:rFonts w:ascii="Times New Roman" w:hAnsi="Times New Roman"/>
          <w:sz w:val="20"/>
          <w:szCs w:val="20"/>
        </w:rPr>
        <w:t xml:space="preserve">artalmazza továbbá a </w:t>
      </w:r>
      <w:proofErr w:type="spellStart"/>
      <w:r w:rsidRPr="00A87091">
        <w:rPr>
          <w:rFonts w:ascii="Times New Roman" w:hAnsi="Times New Roman"/>
          <w:sz w:val="20"/>
          <w:szCs w:val="20"/>
        </w:rPr>
        <w:t>GYED-en</w:t>
      </w:r>
      <w:proofErr w:type="spellEnd"/>
      <w:r w:rsidRPr="00A87091">
        <w:rPr>
          <w:rFonts w:ascii="Times New Roman" w:hAnsi="Times New Roman"/>
          <w:sz w:val="20"/>
          <w:szCs w:val="20"/>
        </w:rPr>
        <w:t xml:space="preserve"> lévő dolgozó bérét is, mely álláshelyre lehetőség szerint helyettesítőt </w:t>
      </w:r>
      <w:r>
        <w:rPr>
          <w:rFonts w:ascii="Times New Roman" w:hAnsi="Times New Roman"/>
          <w:sz w:val="20"/>
          <w:szCs w:val="20"/>
        </w:rPr>
        <w:t>alkalmaz a vezető</w:t>
      </w:r>
      <w:r w:rsidRPr="00A87091">
        <w:rPr>
          <w:rFonts w:ascii="Times New Roman" w:hAnsi="Times New Roman"/>
          <w:sz w:val="20"/>
          <w:szCs w:val="20"/>
        </w:rPr>
        <w:t>.</w:t>
      </w:r>
    </w:p>
    <w:p w:rsidR="00B242EC" w:rsidRPr="00A87091" w:rsidRDefault="00B242EC" w:rsidP="00A870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Tervezett k</w:t>
      </w:r>
      <w:r w:rsidRPr="00A87091">
        <w:rPr>
          <w:rFonts w:ascii="Times New Roman" w:hAnsi="Times New Roman"/>
          <w:sz w:val="20"/>
          <w:szCs w:val="20"/>
        </w:rPr>
        <w:t>ötelező pótlékok: 1 fő magasabb vezetői, 1 fő vezető helyettesi, 4 fő nemzetiségi, 1 fő munkaközösség-vezetői pótlék, 2 fő szociális ágazati pótlék, és 1 fő mentorpedagógusnak megítélt kereset kiegészítés.</w:t>
      </w:r>
    </w:p>
    <w:p w:rsidR="00B242EC" w:rsidRPr="00A87091" w:rsidRDefault="00B242EC" w:rsidP="00A870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táblázatok tartalmazzák </w:t>
      </w:r>
      <w:r w:rsidRPr="00A87091">
        <w:rPr>
          <w:rFonts w:ascii="Times New Roman" w:hAnsi="Times New Roman"/>
          <w:sz w:val="20"/>
          <w:szCs w:val="20"/>
        </w:rPr>
        <w:t>a kötelező 2%-os kereset kiegészítést, valamint 12.000-</w:t>
      </w:r>
      <w:proofErr w:type="gramStart"/>
      <w:r w:rsidRPr="00A87091">
        <w:rPr>
          <w:rFonts w:ascii="Times New Roman" w:hAnsi="Times New Roman"/>
          <w:sz w:val="20"/>
          <w:szCs w:val="20"/>
        </w:rPr>
        <w:t>.Ft</w:t>
      </w:r>
      <w:proofErr w:type="gramEnd"/>
      <w:r w:rsidRPr="00A87091">
        <w:rPr>
          <w:rFonts w:ascii="Times New Roman" w:hAnsi="Times New Roman"/>
          <w:sz w:val="20"/>
          <w:szCs w:val="20"/>
        </w:rPr>
        <w:t>/év/fő számlavezetési díjat.</w:t>
      </w:r>
    </w:p>
    <w:p w:rsidR="00B242EC" w:rsidRDefault="00B242EC" w:rsidP="008F0F14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D64EF8" w:rsidRDefault="00B242EC" w:rsidP="00D64EF8">
      <w:pPr>
        <w:pStyle w:val="Szvegtrzs2"/>
        <w:jc w:val="both"/>
        <w:rPr>
          <w:rFonts w:ascii="Times New Roman" w:hAnsi="Times New Roman"/>
          <w:sz w:val="20"/>
          <w:szCs w:val="20"/>
        </w:rPr>
      </w:pPr>
      <w:r w:rsidRPr="00D64EF8">
        <w:rPr>
          <w:rFonts w:ascii="Times New Roman" w:hAnsi="Times New Roman"/>
          <w:sz w:val="20"/>
          <w:szCs w:val="20"/>
        </w:rPr>
        <w:t>A dologi kiadásokat az előző évi szinten terveztük.</w:t>
      </w:r>
    </w:p>
    <w:p w:rsidR="00B242EC" w:rsidRDefault="00B242EC" w:rsidP="00C179B1">
      <w:pPr>
        <w:jc w:val="both"/>
        <w:rPr>
          <w:rFonts w:ascii="Times New Roman" w:hAnsi="Times New Roman"/>
          <w:sz w:val="20"/>
          <w:szCs w:val="20"/>
        </w:rPr>
      </w:pPr>
    </w:p>
    <w:p w:rsidR="00B242EC" w:rsidRPr="009E4E4A" w:rsidRDefault="00B242EC" w:rsidP="00044764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242EC" w:rsidRPr="009E4E4A" w:rsidRDefault="007318D3" w:rsidP="00044764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  <w:r w:rsidRPr="006B0385">
        <w:rPr>
          <w:rFonts w:ascii="Times New Roman" w:hAnsi="Times New Roman"/>
          <w:sz w:val="20"/>
          <w:szCs w:val="20"/>
        </w:rPr>
        <w:t xml:space="preserve">Kérem a tisztelt </w:t>
      </w:r>
      <w:r>
        <w:rPr>
          <w:rFonts w:ascii="Times New Roman" w:hAnsi="Times New Roman"/>
          <w:sz w:val="20"/>
          <w:szCs w:val="20"/>
        </w:rPr>
        <w:t>Képviselő-testületet</w:t>
      </w:r>
      <w:r w:rsidRPr="006B0385">
        <w:rPr>
          <w:rFonts w:ascii="Times New Roman" w:hAnsi="Times New Roman"/>
          <w:sz w:val="20"/>
          <w:szCs w:val="20"/>
        </w:rPr>
        <w:t xml:space="preserve">, hogy az előterjesztést tárgyalja meg, majd </w:t>
      </w:r>
      <w:r>
        <w:rPr>
          <w:rFonts w:ascii="Times New Roman" w:hAnsi="Times New Roman"/>
          <w:sz w:val="20"/>
          <w:szCs w:val="20"/>
        </w:rPr>
        <w:t>döntsön</w:t>
      </w:r>
      <w:r w:rsidRPr="006B0385">
        <w:rPr>
          <w:rFonts w:ascii="Times New Roman" w:hAnsi="Times New Roman"/>
          <w:sz w:val="20"/>
          <w:szCs w:val="20"/>
        </w:rPr>
        <w:t xml:space="preserve"> a 2014. évi költségvetés tárgyában.</w:t>
      </w:r>
    </w:p>
    <w:p w:rsidR="00B242EC" w:rsidRPr="009E4E4A" w:rsidRDefault="00B242EC" w:rsidP="002F4CC4">
      <w:pPr>
        <w:jc w:val="both"/>
        <w:rPr>
          <w:rFonts w:ascii="Times New Roman" w:hAnsi="Times New Roman"/>
          <w:szCs w:val="22"/>
        </w:rPr>
      </w:pPr>
    </w:p>
    <w:p w:rsidR="00B242EC" w:rsidRPr="006B0385" w:rsidRDefault="00B242EC" w:rsidP="002F4CC4">
      <w:pPr>
        <w:jc w:val="both"/>
        <w:rPr>
          <w:rFonts w:ascii="Times New Roman" w:hAnsi="Times New Roman"/>
          <w:sz w:val="20"/>
          <w:szCs w:val="20"/>
        </w:rPr>
      </w:pPr>
      <w:r w:rsidRPr="006B0385">
        <w:rPr>
          <w:rFonts w:ascii="Times New Roman" w:hAnsi="Times New Roman"/>
          <w:sz w:val="20"/>
          <w:szCs w:val="20"/>
        </w:rPr>
        <w:t>Piliscsév, 201</w:t>
      </w:r>
      <w:r>
        <w:rPr>
          <w:rFonts w:ascii="Times New Roman" w:hAnsi="Times New Roman"/>
          <w:sz w:val="20"/>
          <w:szCs w:val="20"/>
        </w:rPr>
        <w:t>5</w:t>
      </w:r>
      <w:r w:rsidRPr="006B0385">
        <w:rPr>
          <w:rFonts w:ascii="Times New Roman" w:hAnsi="Times New Roman"/>
          <w:sz w:val="20"/>
          <w:szCs w:val="20"/>
        </w:rPr>
        <w:t xml:space="preserve">. </w:t>
      </w:r>
      <w:r w:rsidR="007318D3">
        <w:rPr>
          <w:rFonts w:ascii="Times New Roman" w:hAnsi="Times New Roman"/>
          <w:sz w:val="20"/>
          <w:szCs w:val="20"/>
        </w:rPr>
        <w:t>február 5</w:t>
      </w:r>
      <w:r>
        <w:rPr>
          <w:rFonts w:ascii="Times New Roman" w:hAnsi="Times New Roman"/>
          <w:sz w:val="20"/>
          <w:szCs w:val="20"/>
        </w:rPr>
        <w:t>.</w:t>
      </w:r>
    </w:p>
    <w:p w:rsidR="00B242EC" w:rsidRPr="006B0385" w:rsidRDefault="00B242EC" w:rsidP="00600F11">
      <w:pPr>
        <w:jc w:val="center"/>
        <w:rPr>
          <w:rFonts w:ascii="Times New Roman" w:hAnsi="Times New Roman"/>
          <w:sz w:val="20"/>
          <w:szCs w:val="20"/>
        </w:rPr>
      </w:pPr>
    </w:p>
    <w:p w:rsidR="00B242EC" w:rsidRPr="006B0385" w:rsidRDefault="00B242EC" w:rsidP="002F4CC4">
      <w:pPr>
        <w:jc w:val="both"/>
        <w:rPr>
          <w:rFonts w:ascii="Times New Roman" w:hAnsi="Times New Roman"/>
          <w:sz w:val="20"/>
          <w:szCs w:val="20"/>
        </w:rPr>
      </w:pP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6B0385">
        <w:rPr>
          <w:rFonts w:ascii="Times New Roman" w:hAnsi="Times New Roman"/>
          <w:sz w:val="20"/>
          <w:szCs w:val="20"/>
        </w:rPr>
        <w:t xml:space="preserve">Kosztkáné Rokolya Bernadett </w:t>
      </w:r>
      <w:proofErr w:type="spellStart"/>
      <w:r w:rsidRPr="006B0385">
        <w:rPr>
          <w:rFonts w:ascii="Times New Roman" w:hAnsi="Times New Roman"/>
          <w:sz w:val="20"/>
          <w:szCs w:val="20"/>
        </w:rPr>
        <w:t>sk</w:t>
      </w:r>
      <w:proofErr w:type="spellEnd"/>
      <w:r w:rsidRPr="006B0385">
        <w:rPr>
          <w:rFonts w:ascii="Times New Roman" w:hAnsi="Times New Roman"/>
          <w:sz w:val="20"/>
          <w:szCs w:val="20"/>
        </w:rPr>
        <w:t>.</w:t>
      </w:r>
    </w:p>
    <w:p w:rsidR="00B242EC" w:rsidRPr="006B0385" w:rsidRDefault="00B242EC" w:rsidP="002F4CC4">
      <w:pPr>
        <w:jc w:val="both"/>
        <w:rPr>
          <w:rFonts w:ascii="Times New Roman" w:hAnsi="Times New Roman"/>
          <w:sz w:val="20"/>
          <w:szCs w:val="20"/>
        </w:rPr>
      </w:pP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  <w:t xml:space="preserve">              </w:t>
      </w:r>
      <w:proofErr w:type="gramStart"/>
      <w:r w:rsidRPr="006B0385">
        <w:rPr>
          <w:rFonts w:ascii="Times New Roman" w:hAnsi="Times New Roman"/>
          <w:sz w:val="20"/>
          <w:szCs w:val="20"/>
        </w:rPr>
        <w:t>polgármester</w:t>
      </w:r>
      <w:proofErr w:type="gramEnd"/>
    </w:p>
    <w:p w:rsidR="00B242EC" w:rsidRPr="006B0385" w:rsidRDefault="00B242EC" w:rsidP="0040588A">
      <w:pPr>
        <w:jc w:val="both"/>
        <w:rPr>
          <w:rFonts w:ascii="Times New Roman" w:hAnsi="Times New Roman"/>
          <w:sz w:val="20"/>
          <w:szCs w:val="20"/>
        </w:rPr>
      </w:pPr>
    </w:p>
    <w:sectPr w:rsidR="00B242EC" w:rsidRPr="006B0385" w:rsidSect="00C205AA">
      <w:footerReference w:type="even" r:id="rId7"/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25" w:rsidRDefault="00533225">
      <w:r>
        <w:separator/>
      </w:r>
    </w:p>
  </w:endnote>
  <w:endnote w:type="continuationSeparator" w:id="0">
    <w:p w:rsidR="00533225" w:rsidRDefault="0053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5" w:rsidRDefault="00A70D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332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33225" w:rsidRDefault="0053322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5" w:rsidRPr="00D053E8" w:rsidRDefault="00533225" w:rsidP="00D053E8">
    <w:pPr>
      <w:pStyle w:val="llb"/>
      <w:pBdr>
        <w:top w:val="single" w:sz="4" w:space="1" w:color="auto"/>
      </w:pBdr>
      <w:tabs>
        <w:tab w:val="clear" w:pos="9072"/>
        <w:tab w:val="left" w:pos="3257"/>
        <w:tab w:val="right" w:pos="9070"/>
      </w:tabs>
      <w:rPr>
        <w:sz w:val="20"/>
      </w:rPr>
    </w:pPr>
    <w:r>
      <w:t xml:space="preserve">                                           </w:t>
    </w:r>
    <w:r w:rsidRPr="00D053E8">
      <w:rPr>
        <w:sz w:val="20"/>
      </w:rPr>
      <w:t>PILISCSÉV KÖZSÉG ÖNKORMÁNYZATA</w:t>
    </w:r>
  </w:p>
  <w:p w:rsidR="00533225" w:rsidRDefault="00533225" w:rsidP="00D053E8">
    <w:pPr>
      <w:pStyle w:val="llb"/>
      <w:tabs>
        <w:tab w:val="clear" w:pos="9072"/>
        <w:tab w:val="left" w:pos="3257"/>
        <w:tab w:val="right" w:pos="9070"/>
      </w:tabs>
      <w:jc w:val="center"/>
    </w:pPr>
    <w:r w:rsidRPr="00D053E8">
      <w:rPr>
        <w:sz w:val="20"/>
      </w:rPr>
      <w:t xml:space="preserve">                                                               201</w:t>
    </w:r>
    <w:r>
      <w:rPr>
        <w:sz w:val="20"/>
      </w:rPr>
      <w:t>5</w:t>
    </w:r>
    <w:r w:rsidRPr="00D053E8">
      <w:rPr>
        <w:sz w:val="20"/>
      </w:rPr>
      <w:t>. ÉVI KÖLTSÉGVETÉS</w:t>
    </w:r>
    <w:r>
      <w:tab/>
    </w:r>
    <w:r>
      <w:tab/>
    </w:r>
    <w:fldSimple w:instr=" PAGE   \* MERGEFORMAT ">
      <w:r w:rsidR="008F5961">
        <w:rPr>
          <w:noProof/>
        </w:rPr>
        <w:t>5</w:t>
      </w:r>
    </w:fldSimple>
  </w:p>
  <w:p w:rsidR="00533225" w:rsidRDefault="0053322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25" w:rsidRDefault="00533225">
      <w:r>
        <w:separator/>
      </w:r>
    </w:p>
  </w:footnote>
  <w:footnote w:type="continuationSeparator" w:id="0">
    <w:p w:rsidR="00533225" w:rsidRDefault="0053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F52"/>
    <w:multiLevelType w:val="hybridMultilevel"/>
    <w:tmpl w:val="23B08CFC"/>
    <w:lvl w:ilvl="0" w:tplc="DAB27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473D"/>
    <w:multiLevelType w:val="hybridMultilevel"/>
    <w:tmpl w:val="6AC0CD5E"/>
    <w:lvl w:ilvl="0" w:tplc="CF3CA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032D"/>
    <w:multiLevelType w:val="hybridMultilevel"/>
    <w:tmpl w:val="440CD774"/>
    <w:lvl w:ilvl="0" w:tplc="7CFC47A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F96066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5566E9"/>
    <w:multiLevelType w:val="hybridMultilevel"/>
    <w:tmpl w:val="97F2A4F4"/>
    <w:lvl w:ilvl="0" w:tplc="773A791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B6ACD"/>
    <w:multiLevelType w:val="singleLevel"/>
    <w:tmpl w:val="2CD68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610935"/>
    <w:multiLevelType w:val="hybridMultilevel"/>
    <w:tmpl w:val="AF44318A"/>
    <w:lvl w:ilvl="0" w:tplc="3A2C12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CF"/>
    <w:rsid w:val="00000389"/>
    <w:rsid w:val="000021CD"/>
    <w:rsid w:val="00003678"/>
    <w:rsid w:val="00004EBA"/>
    <w:rsid w:val="00005759"/>
    <w:rsid w:val="00005E33"/>
    <w:rsid w:val="00007D51"/>
    <w:rsid w:val="0001286D"/>
    <w:rsid w:val="00013FBF"/>
    <w:rsid w:val="00017619"/>
    <w:rsid w:val="00017690"/>
    <w:rsid w:val="00020BAF"/>
    <w:rsid w:val="00024050"/>
    <w:rsid w:val="00030140"/>
    <w:rsid w:val="00032861"/>
    <w:rsid w:val="00033C08"/>
    <w:rsid w:val="00033C5D"/>
    <w:rsid w:val="0003416F"/>
    <w:rsid w:val="000358F0"/>
    <w:rsid w:val="0003598D"/>
    <w:rsid w:val="00035CA7"/>
    <w:rsid w:val="00036A69"/>
    <w:rsid w:val="0003719F"/>
    <w:rsid w:val="00041D85"/>
    <w:rsid w:val="000423BB"/>
    <w:rsid w:val="0004398B"/>
    <w:rsid w:val="0004466B"/>
    <w:rsid w:val="00044764"/>
    <w:rsid w:val="00044ACF"/>
    <w:rsid w:val="0004562A"/>
    <w:rsid w:val="00045DA3"/>
    <w:rsid w:val="00045F6A"/>
    <w:rsid w:val="0005291F"/>
    <w:rsid w:val="000529B6"/>
    <w:rsid w:val="00052F56"/>
    <w:rsid w:val="00054037"/>
    <w:rsid w:val="0005547D"/>
    <w:rsid w:val="00055F10"/>
    <w:rsid w:val="0006075C"/>
    <w:rsid w:val="000620B4"/>
    <w:rsid w:val="000624A4"/>
    <w:rsid w:val="000628C3"/>
    <w:rsid w:val="00062E76"/>
    <w:rsid w:val="000651EA"/>
    <w:rsid w:val="000653C2"/>
    <w:rsid w:val="000675F5"/>
    <w:rsid w:val="00071ADD"/>
    <w:rsid w:val="00074400"/>
    <w:rsid w:val="00075F17"/>
    <w:rsid w:val="00077D3E"/>
    <w:rsid w:val="00083B89"/>
    <w:rsid w:val="0008451D"/>
    <w:rsid w:val="000853E1"/>
    <w:rsid w:val="000865B3"/>
    <w:rsid w:val="00092825"/>
    <w:rsid w:val="00092D0C"/>
    <w:rsid w:val="00094E86"/>
    <w:rsid w:val="00094F79"/>
    <w:rsid w:val="0009516D"/>
    <w:rsid w:val="000955DF"/>
    <w:rsid w:val="00095F89"/>
    <w:rsid w:val="000A10B6"/>
    <w:rsid w:val="000A3315"/>
    <w:rsid w:val="000A334F"/>
    <w:rsid w:val="000A4E7E"/>
    <w:rsid w:val="000A55B2"/>
    <w:rsid w:val="000A6916"/>
    <w:rsid w:val="000B3ACE"/>
    <w:rsid w:val="000B52FC"/>
    <w:rsid w:val="000C0347"/>
    <w:rsid w:val="000C03A3"/>
    <w:rsid w:val="000C3B31"/>
    <w:rsid w:val="000C48E4"/>
    <w:rsid w:val="000C4CB7"/>
    <w:rsid w:val="000C6137"/>
    <w:rsid w:val="000C7E7A"/>
    <w:rsid w:val="000D1056"/>
    <w:rsid w:val="000D1803"/>
    <w:rsid w:val="000D2252"/>
    <w:rsid w:val="000D4E88"/>
    <w:rsid w:val="000D5A8E"/>
    <w:rsid w:val="000D6450"/>
    <w:rsid w:val="000E0BBB"/>
    <w:rsid w:val="000E42E2"/>
    <w:rsid w:val="000E59B9"/>
    <w:rsid w:val="000F06A4"/>
    <w:rsid w:val="000F1428"/>
    <w:rsid w:val="000F1808"/>
    <w:rsid w:val="000F1978"/>
    <w:rsid w:val="000F29B5"/>
    <w:rsid w:val="000F2F5D"/>
    <w:rsid w:val="000F4592"/>
    <w:rsid w:val="000F5186"/>
    <w:rsid w:val="000F6197"/>
    <w:rsid w:val="000F735F"/>
    <w:rsid w:val="0010021D"/>
    <w:rsid w:val="00101179"/>
    <w:rsid w:val="00105269"/>
    <w:rsid w:val="0010635D"/>
    <w:rsid w:val="00112253"/>
    <w:rsid w:val="00112B77"/>
    <w:rsid w:val="001138F4"/>
    <w:rsid w:val="00113CB1"/>
    <w:rsid w:val="00113FF2"/>
    <w:rsid w:val="001143C8"/>
    <w:rsid w:val="0011529F"/>
    <w:rsid w:val="001157B5"/>
    <w:rsid w:val="00116219"/>
    <w:rsid w:val="0012236E"/>
    <w:rsid w:val="001243E3"/>
    <w:rsid w:val="00124BE9"/>
    <w:rsid w:val="0012532E"/>
    <w:rsid w:val="001265DF"/>
    <w:rsid w:val="00127C32"/>
    <w:rsid w:val="001325B0"/>
    <w:rsid w:val="0013556A"/>
    <w:rsid w:val="001361FC"/>
    <w:rsid w:val="00141E62"/>
    <w:rsid w:val="00143C20"/>
    <w:rsid w:val="001508DA"/>
    <w:rsid w:val="0015233A"/>
    <w:rsid w:val="0015324F"/>
    <w:rsid w:val="00153F4E"/>
    <w:rsid w:val="0015486F"/>
    <w:rsid w:val="0016083A"/>
    <w:rsid w:val="001610F8"/>
    <w:rsid w:val="00170394"/>
    <w:rsid w:val="00170A9A"/>
    <w:rsid w:val="00174072"/>
    <w:rsid w:val="001774DA"/>
    <w:rsid w:val="00177C63"/>
    <w:rsid w:val="001808DE"/>
    <w:rsid w:val="0018115D"/>
    <w:rsid w:val="00181BC2"/>
    <w:rsid w:val="00183E8E"/>
    <w:rsid w:val="00193EAD"/>
    <w:rsid w:val="00194C6A"/>
    <w:rsid w:val="001A1BBC"/>
    <w:rsid w:val="001A3B25"/>
    <w:rsid w:val="001A4AB2"/>
    <w:rsid w:val="001A4AB6"/>
    <w:rsid w:val="001A5438"/>
    <w:rsid w:val="001A55DE"/>
    <w:rsid w:val="001B12CF"/>
    <w:rsid w:val="001B1D33"/>
    <w:rsid w:val="001B4486"/>
    <w:rsid w:val="001B714C"/>
    <w:rsid w:val="001C4FBD"/>
    <w:rsid w:val="001C5505"/>
    <w:rsid w:val="001C733C"/>
    <w:rsid w:val="001D10CF"/>
    <w:rsid w:val="001D1A2A"/>
    <w:rsid w:val="001D2A92"/>
    <w:rsid w:val="001D3A99"/>
    <w:rsid w:val="001D6DC0"/>
    <w:rsid w:val="001E0224"/>
    <w:rsid w:val="001F0839"/>
    <w:rsid w:val="001F1A46"/>
    <w:rsid w:val="001F4470"/>
    <w:rsid w:val="001F4649"/>
    <w:rsid w:val="001F6A66"/>
    <w:rsid w:val="00202450"/>
    <w:rsid w:val="002025E6"/>
    <w:rsid w:val="00213E63"/>
    <w:rsid w:val="0021424D"/>
    <w:rsid w:val="0021453F"/>
    <w:rsid w:val="00215657"/>
    <w:rsid w:val="00216076"/>
    <w:rsid w:val="00220FF5"/>
    <w:rsid w:val="0022107A"/>
    <w:rsid w:val="00222DDB"/>
    <w:rsid w:val="00224C50"/>
    <w:rsid w:val="002273DD"/>
    <w:rsid w:val="00230434"/>
    <w:rsid w:val="0023078A"/>
    <w:rsid w:val="002337A7"/>
    <w:rsid w:val="00233B47"/>
    <w:rsid w:val="00234881"/>
    <w:rsid w:val="0023725A"/>
    <w:rsid w:val="00240923"/>
    <w:rsid w:val="002438A5"/>
    <w:rsid w:val="00243C8A"/>
    <w:rsid w:val="00243DAE"/>
    <w:rsid w:val="002447AA"/>
    <w:rsid w:val="0024514F"/>
    <w:rsid w:val="00245D5F"/>
    <w:rsid w:val="00250862"/>
    <w:rsid w:val="00253A72"/>
    <w:rsid w:val="00255424"/>
    <w:rsid w:val="00256409"/>
    <w:rsid w:val="00256A99"/>
    <w:rsid w:val="002608ED"/>
    <w:rsid w:val="0026245E"/>
    <w:rsid w:val="00262C26"/>
    <w:rsid w:val="00264BB2"/>
    <w:rsid w:val="00266038"/>
    <w:rsid w:val="002810AD"/>
    <w:rsid w:val="00282799"/>
    <w:rsid w:val="002918FB"/>
    <w:rsid w:val="00295A34"/>
    <w:rsid w:val="00295B37"/>
    <w:rsid w:val="00296051"/>
    <w:rsid w:val="002A1051"/>
    <w:rsid w:val="002A2C43"/>
    <w:rsid w:val="002A31F6"/>
    <w:rsid w:val="002A3730"/>
    <w:rsid w:val="002A44A9"/>
    <w:rsid w:val="002C0984"/>
    <w:rsid w:val="002C1AF2"/>
    <w:rsid w:val="002C6986"/>
    <w:rsid w:val="002C7A7E"/>
    <w:rsid w:val="002D1D68"/>
    <w:rsid w:val="002D2DF7"/>
    <w:rsid w:val="002D4B82"/>
    <w:rsid w:val="002D5CCB"/>
    <w:rsid w:val="002E0927"/>
    <w:rsid w:val="002E1A7D"/>
    <w:rsid w:val="002E3030"/>
    <w:rsid w:val="002E3BAD"/>
    <w:rsid w:val="002E4208"/>
    <w:rsid w:val="002E4C6C"/>
    <w:rsid w:val="002E52A4"/>
    <w:rsid w:val="002F00F2"/>
    <w:rsid w:val="002F3130"/>
    <w:rsid w:val="002F325D"/>
    <w:rsid w:val="002F4CC4"/>
    <w:rsid w:val="002F5E5F"/>
    <w:rsid w:val="002F642C"/>
    <w:rsid w:val="002F73E5"/>
    <w:rsid w:val="002F7555"/>
    <w:rsid w:val="00300F8A"/>
    <w:rsid w:val="00301E19"/>
    <w:rsid w:val="003027C0"/>
    <w:rsid w:val="00304E5F"/>
    <w:rsid w:val="00305102"/>
    <w:rsid w:val="00313521"/>
    <w:rsid w:val="0031554C"/>
    <w:rsid w:val="00317926"/>
    <w:rsid w:val="00317DD2"/>
    <w:rsid w:val="00320AF0"/>
    <w:rsid w:val="00322265"/>
    <w:rsid w:val="003224B6"/>
    <w:rsid w:val="00324387"/>
    <w:rsid w:val="003271C8"/>
    <w:rsid w:val="00332943"/>
    <w:rsid w:val="0033404E"/>
    <w:rsid w:val="00336158"/>
    <w:rsid w:val="00336178"/>
    <w:rsid w:val="00340A22"/>
    <w:rsid w:val="00343240"/>
    <w:rsid w:val="00346600"/>
    <w:rsid w:val="00346D08"/>
    <w:rsid w:val="00350953"/>
    <w:rsid w:val="00351253"/>
    <w:rsid w:val="00356484"/>
    <w:rsid w:val="003570E2"/>
    <w:rsid w:val="00360C96"/>
    <w:rsid w:val="00361948"/>
    <w:rsid w:val="00364626"/>
    <w:rsid w:val="00364C1E"/>
    <w:rsid w:val="00366E8C"/>
    <w:rsid w:val="00372D9C"/>
    <w:rsid w:val="00374CDB"/>
    <w:rsid w:val="00376CEF"/>
    <w:rsid w:val="003818C4"/>
    <w:rsid w:val="003820F8"/>
    <w:rsid w:val="00384FD8"/>
    <w:rsid w:val="00390BE4"/>
    <w:rsid w:val="00393D8D"/>
    <w:rsid w:val="003974A3"/>
    <w:rsid w:val="003A20AE"/>
    <w:rsid w:val="003A2FF6"/>
    <w:rsid w:val="003A315D"/>
    <w:rsid w:val="003A58C8"/>
    <w:rsid w:val="003A5EBE"/>
    <w:rsid w:val="003A6675"/>
    <w:rsid w:val="003A7E7B"/>
    <w:rsid w:val="003B14B2"/>
    <w:rsid w:val="003B276B"/>
    <w:rsid w:val="003B4839"/>
    <w:rsid w:val="003C05D2"/>
    <w:rsid w:val="003C10E1"/>
    <w:rsid w:val="003C31C9"/>
    <w:rsid w:val="003C609E"/>
    <w:rsid w:val="003C7416"/>
    <w:rsid w:val="003C7C76"/>
    <w:rsid w:val="003D176B"/>
    <w:rsid w:val="003D35F0"/>
    <w:rsid w:val="003D3D72"/>
    <w:rsid w:val="003D40A8"/>
    <w:rsid w:val="003D5054"/>
    <w:rsid w:val="003D6520"/>
    <w:rsid w:val="003D670B"/>
    <w:rsid w:val="003E0330"/>
    <w:rsid w:val="003E23AC"/>
    <w:rsid w:val="003E4D44"/>
    <w:rsid w:val="003F2BB5"/>
    <w:rsid w:val="003F34F9"/>
    <w:rsid w:val="003F3C97"/>
    <w:rsid w:val="003F58BA"/>
    <w:rsid w:val="003F72F5"/>
    <w:rsid w:val="0040078B"/>
    <w:rsid w:val="00402302"/>
    <w:rsid w:val="00402AEE"/>
    <w:rsid w:val="004041BD"/>
    <w:rsid w:val="0040588A"/>
    <w:rsid w:val="00405D29"/>
    <w:rsid w:val="00407AE1"/>
    <w:rsid w:val="00411858"/>
    <w:rsid w:val="004126B6"/>
    <w:rsid w:val="00413077"/>
    <w:rsid w:val="004130FE"/>
    <w:rsid w:val="004132C1"/>
    <w:rsid w:val="00414512"/>
    <w:rsid w:val="00421B73"/>
    <w:rsid w:val="00422839"/>
    <w:rsid w:val="00425B98"/>
    <w:rsid w:val="004308E4"/>
    <w:rsid w:val="00432EC1"/>
    <w:rsid w:val="00434547"/>
    <w:rsid w:val="00436186"/>
    <w:rsid w:val="004403D8"/>
    <w:rsid w:val="004411AB"/>
    <w:rsid w:val="00443B26"/>
    <w:rsid w:val="00443CCA"/>
    <w:rsid w:val="00446740"/>
    <w:rsid w:val="00452835"/>
    <w:rsid w:val="00453CCF"/>
    <w:rsid w:val="00455175"/>
    <w:rsid w:val="00455230"/>
    <w:rsid w:val="004552B6"/>
    <w:rsid w:val="004557DB"/>
    <w:rsid w:val="0045625E"/>
    <w:rsid w:val="00460E19"/>
    <w:rsid w:val="00460FC7"/>
    <w:rsid w:val="00462082"/>
    <w:rsid w:val="0046529B"/>
    <w:rsid w:val="00471C26"/>
    <w:rsid w:val="00473A06"/>
    <w:rsid w:val="0047481A"/>
    <w:rsid w:val="0047520B"/>
    <w:rsid w:val="00475461"/>
    <w:rsid w:val="0047725A"/>
    <w:rsid w:val="00481B62"/>
    <w:rsid w:val="00482628"/>
    <w:rsid w:val="00483547"/>
    <w:rsid w:val="0048509A"/>
    <w:rsid w:val="0048585F"/>
    <w:rsid w:val="00485FC3"/>
    <w:rsid w:val="00485FC9"/>
    <w:rsid w:val="00487078"/>
    <w:rsid w:val="004902EB"/>
    <w:rsid w:val="00492803"/>
    <w:rsid w:val="0049470B"/>
    <w:rsid w:val="00497CA6"/>
    <w:rsid w:val="004A5EB3"/>
    <w:rsid w:val="004B230B"/>
    <w:rsid w:val="004B25A5"/>
    <w:rsid w:val="004B2846"/>
    <w:rsid w:val="004B4E23"/>
    <w:rsid w:val="004B69AC"/>
    <w:rsid w:val="004C0F3A"/>
    <w:rsid w:val="004C5381"/>
    <w:rsid w:val="004C5F6C"/>
    <w:rsid w:val="004D021C"/>
    <w:rsid w:val="004D2968"/>
    <w:rsid w:val="004D74E0"/>
    <w:rsid w:val="004E2F07"/>
    <w:rsid w:val="004E3068"/>
    <w:rsid w:val="004E6178"/>
    <w:rsid w:val="004E6343"/>
    <w:rsid w:val="004F1B63"/>
    <w:rsid w:val="004F41BF"/>
    <w:rsid w:val="004F53F9"/>
    <w:rsid w:val="004F606D"/>
    <w:rsid w:val="004F65D5"/>
    <w:rsid w:val="004F707F"/>
    <w:rsid w:val="005010F6"/>
    <w:rsid w:val="00501EE3"/>
    <w:rsid w:val="00502760"/>
    <w:rsid w:val="00503274"/>
    <w:rsid w:val="00512A71"/>
    <w:rsid w:val="005152D5"/>
    <w:rsid w:val="005153E6"/>
    <w:rsid w:val="005161D0"/>
    <w:rsid w:val="00516C5B"/>
    <w:rsid w:val="00521DEF"/>
    <w:rsid w:val="00533225"/>
    <w:rsid w:val="005352F3"/>
    <w:rsid w:val="00535A1E"/>
    <w:rsid w:val="00536E23"/>
    <w:rsid w:val="0054027F"/>
    <w:rsid w:val="0054060F"/>
    <w:rsid w:val="00541286"/>
    <w:rsid w:val="00542ECA"/>
    <w:rsid w:val="00543555"/>
    <w:rsid w:val="005463A1"/>
    <w:rsid w:val="00550428"/>
    <w:rsid w:val="005511EC"/>
    <w:rsid w:val="00552997"/>
    <w:rsid w:val="00553400"/>
    <w:rsid w:val="00554084"/>
    <w:rsid w:val="00554305"/>
    <w:rsid w:val="005557B2"/>
    <w:rsid w:val="0055592D"/>
    <w:rsid w:val="005562CD"/>
    <w:rsid w:val="0055656A"/>
    <w:rsid w:val="0055711D"/>
    <w:rsid w:val="00562E82"/>
    <w:rsid w:val="00572C82"/>
    <w:rsid w:val="00574BF9"/>
    <w:rsid w:val="00577170"/>
    <w:rsid w:val="005773E9"/>
    <w:rsid w:val="0057774A"/>
    <w:rsid w:val="00577ED3"/>
    <w:rsid w:val="0058160A"/>
    <w:rsid w:val="005824A5"/>
    <w:rsid w:val="0058251D"/>
    <w:rsid w:val="0058313B"/>
    <w:rsid w:val="00583CE4"/>
    <w:rsid w:val="005858F1"/>
    <w:rsid w:val="005867D2"/>
    <w:rsid w:val="00591AA6"/>
    <w:rsid w:val="00594A0E"/>
    <w:rsid w:val="00596E66"/>
    <w:rsid w:val="00597368"/>
    <w:rsid w:val="005A4315"/>
    <w:rsid w:val="005A5CA2"/>
    <w:rsid w:val="005A7323"/>
    <w:rsid w:val="005B0AE3"/>
    <w:rsid w:val="005B173D"/>
    <w:rsid w:val="005B32C3"/>
    <w:rsid w:val="005B617D"/>
    <w:rsid w:val="005B711D"/>
    <w:rsid w:val="005B786B"/>
    <w:rsid w:val="005B7B8C"/>
    <w:rsid w:val="005C04A9"/>
    <w:rsid w:val="005C4024"/>
    <w:rsid w:val="005C4621"/>
    <w:rsid w:val="005C4D05"/>
    <w:rsid w:val="005C512D"/>
    <w:rsid w:val="005C5212"/>
    <w:rsid w:val="005C63CF"/>
    <w:rsid w:val="005C6E42"/>
    <w:rsid w:val="005C7427"/>
    <w:rsid w:val="005D2D45"/>
    <w:rsid w:val="005D4158"/>
    <w:rsid w:val="005D57AC"/>
    <w:rsid w:val="005D6B65"/>
    <w:rsid w:val="005D7856"/>
    <w:rsid w:val="005E152C"/>
    <w:rsid w:val="005E2A28"/>
    <w:rsid w:val="005E4F5B"/>
    <w:rsid w:val="005E53E7"/>
    <w:rsid w:val="005F2200"/>
    <w:rsid w:val="005F3CBE"/>
    <w:rsid w:val="005F4176"/>
    <w:rsid w:val="005F418C"/>
    <w:rsid w:val="005F5268"/>
    <w:rsid w:val="005F5DF5"/>
    <w:rsid w:val="005F691D"/>
    <w:rsid w:val="005F7F1C"/>
    <w:rsid w:val="00600E7D"/>
    <w:rsid w:val="00600F11"/>
    <w:rsid w:val="00601C68"/>
    <w:rsid w:val="00602D3C"/>
    <w:rsid w:val="00606E9E"/>
    <w:rsid w:val="0061023D"/>
    <w:rsid w:val="00610613"/>
    <w:rsid w:val="00611196"/>
    <w:rsid w:val="00611F2E"/>
    <w:rsid w:val="00612C78"/>
    <w:rsid w:val="00613E3B"/>
    <w:rsid w:val="006159BA"/>
    <w:rsid w:val="0061675D"/>
    <w:rsid w:val="006201BA"/>
    <w:rsid w:val="00620FB7"/>
    <w:rsid w:val="006211EE"/>
    <w:rsid w:val="00621433"/>
    <w:rsid w:val="006216A6"/>
    <w:rsid w:val="006235C4"/>
    <w:rsid w:val="006245B7"/>
    <w:rsid w:val="00625273"/>
    <w:rsid w:val="00631E45"/>
    <w:rsid w:val="00635F6E"/>
    <w:rsid w:val="0064121A"/>
    <w:rsid w:val="006413E0"/>
    <w:rsid w:val="006437E3"/>
    <w:rsid w:val="0064392D"/>
    <w:rsid w:val="00644E6F"/>
    <w:rsid w:val="00645326"/>
    <w:rsid w:val="0065233E"/>
    <w:rsid w:val="006538EC"/>
    <w:rsid w:val="00654CBB"/>
    <w:rsid w:val="00655645"/>
    <w:rsid w:val="00661D92"/>
    <w:rsid w:val="0066225A"/>
    <w:rsid w:val="006632BA"/>
    <w:rsid w:val="006639FC"/>
    <w:rsid w:val="00664D6B"/>
    <w:rsid w:val="00666D0B"/>
    <w:rsid w:val="00670750"/>
    <w:rsid w:val="006722F8"/>
    <w:rsid w:val="006735B0"/>
    <w:rsid w:val="00673ECD"/>
    <w:rsid w:val="0067426D"/>
    <w:rsid w:val="00676576"/>
    <w:rsid w:val="00682086"/>
    <w:rsid w:val="00682172"/>
    <w:rsid w:val="00685598"/>
    <w:rsid w:val="00690565"/>
    <w:rsid w:val="006918E7"/>
    <w:rsid w:val="00695230"/>
    <w:rsid w:val="0069576C"/>
    <w:rsid w:val="006962BC"/>
    <w:rsid w:val="00697EAB"/>
    <w:rsid w:val="006A06B6"/>
    <w:rsid w:val="006A1947"/>
    <w:rsid w:val="006A2848"/>
    <w:rsid w:val="006A5CBE"/>
    <w:rsid w:val="006A7649"/>
    <w:rsid w:val="006B0385"/>
    <w:rsid w:val="006B237C"/>
    <w:rsid w:val="006B344E"/>
    <w:rsid w:val="006B49FA"/>
    <w:rsid w:val="006B5691"/>
    <w:rsid w:val="006B62EF"/>
    <w:rsid w:val="006C0FBC"/>
    <w:rsid w:val="006C5856"/>
    <w:rsid w:val="006C70D8"/>
    <w:rsid w:val="006D3C0C"/>
    <w:rsid w:val="006D4F9A"/>
    <w:rsid w:val="006D505E"/>
    <w:rsid w:val="006D5079"/>
    <w:rsid w:val="006D7666"/>
    <w:rsid w:val="006E0A6F"/>
    <w:rsid w:val="006E7C4A"/>
    <w:rsid w:val="006F0318"/>
    <w:rsid w:val="006F12C9"/>
    <w:rsid w:val="006F3134"/>
    <w:rsid w:val="006F63D5"/>
    <w:rsid w:val="006F67A6"/>
    <w:rsid w:val="00700F99"/>
    <w:rsid w:val="007067C0"/>
    <w:rsid w:val="0071004E"/>
    <w:rsid w:val="00710911"/>
    <w:rsid w:val="00713029"/>
    <w:rsid w:val="00713F59"/>
    <w:rsid w:val="00714E78"/>
    <w:rsid w:val="00717951"/>
    <w:rsid w:val="0072383E"/>
    <w:rsid w:val="00723A42"/>
    <w:rsid w:val="00723F11"/>
    <w:rsid w:val="00723F8C"/>
    <w:rsid w:val="00726750"/>
    <w:rsid w:val="007318D3"/>
    <w:rsid w:val="00732829"/>
    <w:rsid w:val="0073414C"/>
    <w:rsid w:val="00734435"/>
    <w:rsid w:val="00742209"/>
    <w:rsid w:val="00742E09"/>
    <w:rsid w:val="00744FA2"/>
    <w:rsid w:val="00745B54"/>
    <w:rsid w:val="00751D79"/>
    <w:rsid w:val="00752904"/>
    <w:rsid w:val="00753D59"/>
    <w:rsid w:val="00757C7C"/>
    <w:rsid w:val="00757D7F"/>
    <w:rsid w:val="00765E31"/>
    <w:rsid w:val="007708EC"/>
    <w:rsid w:val="0077159F"/>
    <w:rsid w:val="00780416"/>
    <w:rsid w:val="00781C76"/>
    <w:rsid w:val="00782D08"/>
    <w:rsid w:val="00783B53"/>
    <w:rsid w:val="00784524"/>
    <w:rsid w:val="00784770"/>
    <w:rsid w:val="00786E93"/>
    <w:rsid w:val="0078701A"/>
    <w:rsid w:val="007878B0"/>
    <w:rsid w:val="00791D28"/>
    <w:rsid w:val="007922EF"/>
    <w:rsid w:val="00792BD6"/>
    <w:rsid w:val="007A55AE"/>
    <w:rsid w:val="007A59E8"/>
    <w:rsid w:val="007A6BE2"/>
    <w:rsid w:val="007B6C39"/>
    <w:rsid w:val="007C1940"/>
    <w:rsid w:val="007C1C53"/>
    <w:rsid w:val="007C1DCC"/>
    <w:rsid w:val="007C207C"/>
    <w:rsid w:val="007C34CA"/>
    <w:rsid w:val="007C37CF"/>
    <w:rsid w:val="007C3C22"/>
    <w:rsid w:val="007D19EB"/>
    <w:rsid w:val="007E15C5"/>
    <w:rsid w:val="007E4036"/>
    <w:rsid w:val="007E55B8"/>
    <w:rsid w:val="007F0E0B"/>
    <w:rsid w:val="007F1281"/>
    <w:rsid w:val="007F293F"/>
    <w:rsid w:val="007F2EA6"/>
    <w:rsid w:val="007F59E4"/>
    <w:rsid w:val="007F628F"/>
    <w:rsid w:val="008001BB"/>
    <w:rsid w:val="008053AB"/>
    <w:rsid w:val="008100C7"/>
    <w:rsid w:val="00812091"/>
    <w:rsid w:val="008120CC"/>
    <w:rsid w:val="0081688F"/>
    <w:rsid w:val="00816AD2"/>
    <w:rsid w:val="00825232"/>
    <w:rsid w:val="00831932"/>
    <w:rsid w:val="00834E19"/>
    <w:rsid w:val="008361A5"/>
    <w:rsid w:val="00841E39"/>
    <w:rsid w:val="00842D78"/>
    <w:rsid w:val="00844DB3"/>
    <w:rsid w:val="00845A58"/>
    <w:rsid w:val="00851458"/>
    <w:rsid w:val="00853122"/>
    <w:rsid w:val="00855BF8"/>
    <w:rsid w:val="00860C40"/>
    <w:rsid w:val="0086384F"/>
    <w:rsid w:val="008651E7"/>
    <w:rsid w:val="0086552C"/>
    <w:rsid w:val="0086778C"/>
    <w:rsid w:val="00867F96"/>
    <w:rsid w:val="00870EBB"/>
    <w:rsid w:val="00874F3F"/>
    <w:rsid w:val="008755D0"/>
    <w:rsid w:val="00876E47"/>
    <w:rsid w:val="00885764"/>
    <w:rsid w:val="0088668D"/>
    <w:rsid w:val="00886691"/>
    <w:rsid w:val="0089061C"/>
    <w:rsid w:val="00890F51"/>
    <w:rsid w:val="008921F5"/>
    <w:rsid w:val="008935A7"/>
    <w:rsid w:val="008936E1"/>
    <w:rsid w:val="008A1F91"/>
    <w:rsid w:val="008A29B7"/>
    <w:rsid w:val="008A588D"/>
    <w:rsid w:val="008B0ED3"/>
    <w:rsid w:val="008B3C76"/>
    <w:rsid w:val="008B4F2A"/>
    <w:rsid w:val="008B5552"/>
    <w:rsid w:val="008B58D5"/>
    <w:rsid w:val="008B694D"/>
    <w:rsid w:val="008B6985"/>
    <w:rsid w:val="008C0D42"/>
    <w:rsid w:val="008C66E3"/>
    <w:rsid w:val="008C6762"/>
    <w:rsid w:val="008C78A0"/>
    <w:rsid w:val="008D23C4"/>
    <w:rsid w:val="008D334B"/>
    <w:rsid w:val="008D38C6"/>
    <w:rsid w:val="008E00F6"/>
    <w:rsid w:val="008E0117"/>
    <w:rsid w:val="008E134C"/>
    <w:rsid w:val="008E40E7"/>
    <w:rsid w:val="008E4D90"/>
    <w:rsid w:val="008F0F14"/>
    <w:rsid w:val="008F1C91"/>
    <w:rsid w:val="008F3037"/>
    <w:rsid w:val="008F385C"/>
    <w:rsid w:val="008F386F"/>
    <w:rsid w:val="008F38C4"/>
    <w:rsid w:val="008F3BE2"/>
    <w:rsid w:val="008F5535"/>
    <w:rsid w:val="008F5961"/>
    <w:rsid w:val="008F5C30"/>
    <w:rsid w:val="008F61CF"/>
    <w:rsid w:val="008F72BB"/>
    <w:rsid w:val="008F7309"/>
    <w:rsid w:val="009035B0"/>
    <w:rsid w:val="00903AC0"/>
    <w:rsid w:val="00905BD4"/>
    <w:rsid w:val="00912DBD"/>
    <w:rsid w:val="009130A9"/>
    <w:rsid w:val="00914570"/>
    <w:rsid w:val="00916E18"/>
    <w:rsid w:val="00921CF8"/>
    <w:rsid w:val="00921F17"/>
    <w:rsid w:val="009247DC"/>
    <w:rsid w:val="00924D78"/>
    <w:rsid w:val="009257D9"/>
    <w:rsid w:val="009260E7"/>
    <w:rsid w:val="00930201"/>
    <w:rsid w:val="009325F5"/>
    <w:rsid w:val="00933618"/>
    <w:rsid w:val="00933854"/>
    <w:rsid w:val="00934E60"/>
    <w:rsid w:val="009351A5"/>
    <w:rsid w:val="00936292"/>
    <w:rsid w:val="009401EF"/>
    <w:rsid w:val="00940751"/>
    <w:rsid w:val="00941246"/>
    <w:rsid w:val="00942B12"/>
    <w:rsid w:val="00942E70"/>
    <w:rsid w:val="00943270"/>
    <w:rsid w:val="00944136"/>
    <w:rsid w:val="00945BBA"/>
    <w:rsid w:val="0094740A"/>
    <w:rsid w:val="00952066"/>
    <w:rsid w:val="00953837"/>
    <w:rsid w:val="00954117"/>
    <w:rsid w:val="009554BD"/>
    <w:rsid w:val="0096064B"/>
    <w:rsid w:val="00972410"/>
    <w:rsid w:val="00980BC3"/>
    <w:rsid w:val="00981003"/>
    <w:rsid w:val="00987567"/>
    <w:rsid w:val="00987952"/>
    <w:rsid w:val="009917B1"/>
    <w:rsid w:val="00992450"/>
    <w:rsid w:val="0099346D"/>
    <w:rsid w:val="009943D9"/>
    <w:rsid w:val="00994A89"/>
    <w:rsid w:val="009959F8"/>
    <w:rsid w:val="009A07C2"/>
    <w:rsid w:val="009A5030"/>
    <w:rsid w:val="009A6EFF"/>
    <w:rsid w:val="009B2F2F"/>
    <w:rsid w:val="009B3A6D"/>
    <w:rsid w:val="009B4453"/>
    <w:rsid w:val="009B79AE"/>
    <w:rsid w:val="009B7D67"/>
    <w:rsid w:val="009C187A"/>
    <w:rsid w:val="009C1B77"/>
    <w:rsid w:val="009C36F0"/>
    <w:rsid w:val="009C47DC"/>
    <w:rsid w:val="009C59F1"/>
    <w:rsid w:val="009C64E2"/>
    <w:rsid w:val="009D0DAF"/>
    <w:rsid w:val="009D1BA5"/>
    <w:rsid w:val="009D3F96"/>
    <w:rsid w:val="009D478E"/>
    <w:rsid w:val="009D4A91"/>
    <w:rsid w:val="009E0FA6"/>
    <w:rsid w:val="009E174A"/>
    <w:rsid w:val="009E1BDD"/>
    <w:rsid w:val="009E49B4"/>
    <w:rsid w:val="009E4E4A"/>
    <w:rsid w:val="009E779F"/>
    <w:rsid w:val="009F4A7D"/>
    <w:rsid w:val="009F6101"/>
    <w:rsid w:val="009F6AC1"/>
    <w:rsid w:val="009F6EA1"/>
    <w:rsid w:val="00A00212"/>
    <w:rsid w:val="00A01ABE"/>
    <w:rsid w:val="00A03EC1"/>
    <w:rsid w:val="00A06509"/>
    <w:rsid w:val="00A11F82"/>
    <w:rsid w:val="00A13945"/>
    <w:rsid w:val="00A15A4F"/>
    <w:rsid w:val="00A16B1E"/>
    <w:rsid w:val="00A1701B"/>
    <w:rsid w:val="00A20440"/>
    <w:rsid w:val="00A24353"/>
    <w:rsid w:val="00A24378"/>
    <w:rsid w:val="00A2518F"/>
    <w:rsid w:val="00A2519C"/>
    <w:rsid w:val="00A256D2"/>
    <w:rsid w:val="00A26341"/>
    <w:rsid w:val="00A30D49"/>
    <w:rsid w:val="00A3218A"/>
    <w:rsid w:val="00A33E3E"/>
    <w:rsid w:val="00A377EC"/>
    <w:rsid w:val="00A379A4"/>
    <w:rsid w:val="00A40C61"/>
    <w:rsid w:val="00A41D30"/>
    <w:rsid w:val="00A42C6F"/>
    <w:rsid w:val="00A52F44"/>
    <w:rsid w:val="00A5410A"/>
    <w:rsid w:val="00A55528"/>
    <w:rsid w:val="00A55F8C"/>
    <w:rsid w:val="00A56035"/>
    <w:rsid w:val="00A601B0"/>
    <w:rsid w:val="00A60F53"/>
    <w:rsid w:val="00A65789"/>
    <w:rsid w:val="00A66687"/>
    <w:rsid w:val="00A70DCD"/>
    <w:rsid w:val="00A72A82"/>
    <w:rsid w:val="00A779C0"/>
    <w:rsid w:val="00A8009F"/>
    <w:rsid w:val="00A80796"/>
    <w:rsid w:val="00A81937"/>
    <w:rsid w:val="00A8501E"/>
    <w:rsid w:val="00A87091"/>
    <w:rsid w:val="00A878D0"/>
    <w:rsid w:val="00A93E34"/>
    <w:rsid w:val="00A95610"/>
    <w:rsid w:val="00AA0C75"/>
    <w:rsid w:val="00AA120D"/>
    <w:rsid w:val="00AA17BF"/>
    <w:rsid w:val="00AA31B5"/>
    <w:rsid w:val="00AA6FFA"/>
    <w:rsid w:val="00AA794D"/>
    <w:rsid w:val="00AB063A"/>
    <w:rsid w:val="00AB4FDC"/>
    <w:rsid w:val="00AB5AB9"/>
    <w:rsid w:val="00AB5D41"/>
    <w:rsid w:val="00AB5E39"/>
    <w:rsid w:val="00AB6A43"/>
    <w:rsid w:val="00AC1055"/>
    <w:rsid w:val="00AC36E1"/>
    <w:rsid w:val="00AC4A91"/>
    <w:rsid w:val="00AC4F41"/>
    <w:rsid w:val="00AC5A2B"/>
    <w:rsid w:val="00AC60CC"/>
    <w:rsid w:val="00AD1988"/>
    <w:rsid w:val="00AD24C5"/>
    <w:rsid w:val="00AD34C9"/>
    <w:rsid w:val="00AD4D76"/>
    <w:rsid w:val="00AD605E"/>
    <w:rsid w:val="00AD6C00"/>
    <w:rsid w:val="00AE108C"/>
    <w:rsid w:val="00AE13FE"/>
    <w:rsid w:val="00AE43CD"/>
    <w:rsid w:val="00AE5FF5"/>
    <w:rsid w:val="00AF02DD"/>
    <w:rsid w:val="00AF09E6"/>
    <w:rsid w:val="00AF2B2F"/>
    <w:rsid w:val="00AF3200"/>
    <w:rsid w:val="00AF357A"/>
    <w:rsid w:val="00AF45F5"/>
    <w:rsid w:val="00AF49A1"/>
    <w:rsid w:val="00AF56B7"/>
    <w:rsid w:val="00AF65A3"/>
    <w:rsid w:val="00AF711A"/>
    <w:rsid w:val="00AF718B"/>
    <w:rsid w:val="00B004EE"/>
    <w:rsid w:val="00B03B03"/>
    <w:rsid w:val="00B06352"/>
    <w:rsid w:val="00B1016D"/>
    <w:rsid w:val="00B10EB2"/>
    <w:rsid w:val="00B11880"/>
    <w:rsid w:val="00B1239F"/>
    <w:rsid w:val="00B1767D"/>
    <w:rsid w:val="00B22000"/>
    <w:rsid w:val="00B22ACB"/>
    <w:rsid w:val="00B22E8F"/>
    <w:rsid w:val="00B234D3"/>
    <w:rsid w:val="00B24169"/>
    <w:rsid w:val="00B242EC"/>
    <w:rsid w:val="00B25A57"/>
    <w:rsid w:val="00B3181B"/>
    <w:rsid w:val="00B34505"/>
    <w:rsid w:val="00B34C8F"/>
    <w:rsid w:val="00B412C1"/>
    <w:rsid w:val="00B45F75"/>
    <w:rsid w:val="00B507B9"/>
    <w:rsid w:val="00B54882"/>
    <w:rsid w:val="00B57222"/>
    <w:rsid w:val="00B60696"/>
    <w:rsid w:val="00B60698"/>
    <w:rsid w:val="00B63816"/>
    <w:rsid w:val="00B718E6"/>
    <w:rsid w:val="00B72898"/>
    <w:rsid w:val="00B75023"/>
    <w:rsid w:val="00B76729"/>
    <w:rsid w:val="00B80604"/>
    <w:rsid w:val="00B82ABC"/>
    <w:rsid w:val="00B82EDB"/>
    <w:rsid w:val="00B8339D"/>
    <w:rsid w:val="00B841E7"/>
    <w:rsid w:val="00B849B7"/>
    <w:rsid w:val="00B854A5"/>
    <w:rsid w:val="00B8714F"/>
    <w:rsid w:val="00B87B65"/>
    <w:rsid w:val="00B940DA"/>
    <w:rsid w:val="00B9469E"/>
    <w:rsid w:val="00B96BF9"/>
    <w:rsid w:val="00BA1C72"/>
    <w:rsid w:val="00BA25F1"/>
    <w:rsid w:val="00BA3462"/>
    <w:rsid w:val="00BA5A01"/>
    <w:rsid w:val="00BA7C1C"/>
    <w:rsid w:val="00BA7EBB"/>
    <w:rsid w:val="00BB2BBA"/>
    <w:rsid w:val="00BB2FDB"/>
    <w:rsid w:val="00BB4B11"/>
    <w:rsid w:val="00BB4EBC"/>
    <w:rsid w:val="00BC1317"/>
    <w:rsid w:val="00BC1510"/>
    <w:rsid w:val="00BC4314"/>
    <w:rsid w:val="00BC43F6"/>
    <w:rsid w:val="00BC5E04"/>
    <w:rsid w:val="00BC5F19"/>
    <w:rsid w:val="00BC6E47"/>
    <w:rsid w:val="00BC7E0C"/>
    <w:rsid w:val="00BD3DEA"/>
    <w:rsid w:val="00BD6ACB"/>
    <w:rsid w:val="00BE0E78"/>
    <w:rsid w:val="00BE1030"/>
    <w:rsid w:val="00BE42AE"/>
    <w:rsid w:val="00BE6019"/>
    <w:rsid w:val="00BE754E"/>
    <w:rsid w:val="00BE77C7"/>
    <w:rsid w:val="00BF0EDE"/>
    <w:rsid w:val="00BF297C"/>
    <w:rsid w:val="00BF44CA"/>
    <w:rsid w:val="00BF51C2"/>
    <w:rsid w:val="00BF5B75"/>
    <w:rsid w:val="00C01055"/>
    <w:rsid w:val="00C01560"/>
    <w:rsid w:val="00C057A9"/>
    <w:rsid w:val="00C06861"/>
    <w:rsid w:val="00C117EF"/>
    <w:rsid w:val="00C16842"/>
    <w:rsid w:val="00C16B11"/>
    <w:rsid w:val="00C170BA"/>
    <w:rsid w:val="00C1718B"/>
    <w:rsid w:val="00C17807"/>
    <w:rsid w:val="00C179B1"/>
    <w:rsid w:val="00C205AA"/>
    <w:rsid w:val="00C209B1"/>
    <w:rsid w:val="00C20A58"/>
    <w:rsid w:val="00C22A03"/>
    <w:rsid w:val="00C2421D"/>
    <w:rsid w:val="00C2558D"/>
    <w:rsid w:val="00C256DB"/>
    <w:rsid w:val="00C25BA1"/>
    <w:rsid w:val="00C275C7"/>
    <w:rsid w:val="00C31E0A"/>
    <w:rsid w:val="00C342B7"/>
    <w:rsid w:val="00C3495D"/>
    <w:rsid w:val="00C37581"/>
    <w:rsid w:val="00C37A8A"/>
    <w:rsid w:val="00C40280"/>
    <w:rsid w:val="00C420BF"/>
    <w:rsid w:val="00C4311B"/>
    <w:rsid w:val="00C432DB"/>
    <w:rsid w:val="00C43C24"/>
    <w:rsid w:val="00C51578"/>
    <w:rsid w:val="00C53327"/>
    <w:rsid w:val="00C54FA8"/>
    <w:rsid w:val="00C55A4C"/>
    <w:rsid w:val="00C55FC6"/>
    <w:rsid w:val="00C57EAE"/>
    <w:rsid w:val="00C60BB4"/>
    <w:rsid w:val="00C62A08"/>
    <w:rsid w:val="00C6345C"/>
    <w:rsid w:val="00C646D4"/>
    <w:rsid w:val="00C6529B"/>
    <w:rsid w:val="00C655C8"/>
    <w:rsid w:val="00C65C10"/>
    <w:rsid w:val="00C711C3"/>
    <w:rsid w:val="00C746BA"/>
    <w:rsid w:val="00C7503B"/>
    <w:rsid w:val="00C76AB6"/>
    <w:rsid w:val="00C779BC"/>
    <w:rsid w:val="00C77BCE"/>
    <w:rsid w:val="00C815FF"/>
    <w:rsid w:val="00C84580"/>
    <w:rsid w:val="00C90675"/>
    <w:rsid w:val="00C909A7"/>
    <w:rsid w:val="00C93176"/>
    <w:rsid w:val="00C9475A"/>
    <w:rsid w:val="00C95129"/>
    <w:rsid w:val="00CA3041"/>
    <w:rsid w:val="00CA5A83"/>
    <w:rsid w:val="00CA7E25"/>
    <w:rsid w:val="00CB0116"/>
    <w:rsid w:val="00CB0BF1"/>
    <w:rsid w:val="00CB17CB"/>
    <w:rsid w:val="00CB23DF"/>
    <w:rsid w:val="00CB2737"/>
    <w:rsid w:val="00CB5C08"/>
    <w:rsid w:val="00CB615E"/>
    <w:rsid w:val="00CB6654"/>
    <w:rsid w:val="00CB6E2E"/>
    <w:rsid w:val="00CC6337"/>
    <w:rsid w:val="00CD26FB"/>
    <w:rsid w:val="00CD34C7"/>
    <w:rsid w:val="00CD4125"/>
    <w:rsid w:val="00CD4AF3"/>
    <w:rsid w:val="00CD6729"/>
    <w:rsid w:val="00CD6EB8"/>
    <w:rsid w:val="00CE5359"/>
    <w:rsid w:val="00CE58E6"/>
    <w:rsid w:val="00CE74F8"/>
    <w:rsid w:val="00CF16EF"/>
    <w:rsid w:val="00CF339C"/>
    <w:rsid w:val="00CF3BE9"/>
    <w:rsid w:val="00CF4AAE"/>
    <w:rsid w:val="00CF4FF0"/>
    <w:rsid w:val="00CF7FF4"/>
    <w:rsid w:val="00D00320"/>
    <w:rsid w:val="00D0114E"/>
    <w:rsid w:val="00D014AE"/>
    <w:rsid w:val="00D028F0"/>
    <w:rsid w:val="00D053E8"/>
    <w:rsid w:val="00D0634B"/>
    <w:rsid w:val="00D17015"/>
    <w:rsid w:val="00D21330"/>
    <w:rsid w:val="00D22C14"/>
    <w:rsid w:val="00D3037B"/>
    <w:rsid w:val="00D30AFF"/>
    <w:rsid w:val="00D30C09"/>
    <w:rsid w:val="00D325B5"/>
    <w:rsid w:val="00D32709"/>
    <w:rsid w:val="00D32830"/>
    <w:rsid w:val="00D3652E"/>
    <w:rsid w:val="00D377FB"/>
    <w:rsid w:val="00D4199A"/>
    <w:rsid w:val="00D43850"/>
    <w:rsid w:val="00D43D06"/>
    <w:rsid w:val="00D44648"/>
    <w:rsid w:val="00D46049"/>
    <w:rsid w:val="00D465EB"/>
    <w:rsid w:val="00D4690C"/>
    <w:rsid w:val="00D47747"/>
    <w:rsid w:val="00D50839"/>
    <w:rsid w:val="00D51ED5"/>
    <w:rsid w:val="00D526C3"/>
    <w:rsid w:val="00D529E8"/>
    <w:rsid w:val="00D54B0F"/>
    <w:rsid w:val="00D56F36"/>
    <w:rsid w:val="00D57A44"/>
    <w:rsid w:val="00D60A43"/>
    <w:rsid w:val="00D61416"/>
    <w:rsid w:val="00D62F4A"/>
    <w:rsid w:val="00D64EF8"/>
    <w:rsid w:val="00D67938"/>
    <w:rsid w:val="00D701DF"/>
    <w:rsid w:val="00D70AB3"/>
    <w:rsid w:val="00D70C57"/>
    <w:rsid w:val="00D725A4"/>
    <w:rsid w:val="00D740D9"/>
    <w:rsid w:val="00D758BF"/>
    <w:rsid w:val="00D776C0"/>
    <w:rsid w:val="00D83E1D"/>
    <w:rsid w:val="00D87396"/>
    <w:rsid w:val="00D91FAA"/>
    <w:rsid w:val="00D92B6A"/>
    <w:rsid w:val="00D9326A"/>
    <w:rsid w:val="00D951AE"/>
    <w:rsid w:val="00DA09A2"/>
    <w:rsid w:val="00DA15C2"/>
    <w:rsid w:val="00DA1A31"/>
    <w:rsid w:val="00DA3759"/>
    <w:rsid w:val="00DA509B"/>
    <w:rsid w:val="00DA5FBE"/>
    <w:rsid w:val="00DA7892"/>
    <w:rsid w:val="00DB02CE"/>
    <w:rsid w:val="00DB1067"/>
    <w:rsid w:val="00DB1CD3"/>
    <w:rsid w:val="00DB7661"/>
    <w:rsid w:val="00DB7EAF"/>
    <w:rsid w:val="00DC392B"/>
    <w:rsid w:val="00DC3B0B"/>
    <w:rsid w:val="00DC4D61"/>
    <w:rsid w:val="00DC7D3F"/>
    <w:rsid w:val="00DD0D82"/>
    <w:rsid w:val="00DD41FA"/>
    <w:rsid w:val="00DD4630"/>
    <w:rsid w:val="00DE4A5F"/>
    <w:rsid w:val="00DE60B1"/>
    <w:rsid w:val="00DE76A7"/>
    <w:rsid w:val="00DF1136"/>
    <w:rsid w:val="00DF2F8B"/>
    <w:rsid w:val="00DF36C8"/>
    <w:rsid w:val="00DF4D9C"/>
    <w:rsid w:val="00DF5ECC"/>
    <w:rsid w:val="00DF5F18"/>
    <w:rsid w:val="00E03571"/>
    <w:rsid w:val="00E0398C"/>
    <w:rsid w:val="00E04410"/>
    <w:rsid w:val="00E04D2F"/>
    <w:rsid w:val="00E06AF0"/>
    <w:rsid w:val="00E06BCD"/>
    <w:rsid w:val="00E11734"/>
    <w:rsid w:val="00E11904"/>
    <w:rsid w:val="00E13ADF"/>
    <w:rsid w:val="00E13E93"/>
    <w:rsid w:val="00E143E2"/>
    <w:rsid w:val="00E149FA"/>
    <w:rsid w:val="00E20ADB"/>
    <w:rsid w:val="00E23FB1"/>
    <w:rsid w:val="00E24B79"/>
    <w:rsid w:val="00E32616"/>
    <w:rsid w:val="00E329E7"/>
    <w:rsid w:val="00E336EF"/>
    <w:rsid w:val="00E343B9"/>
    <w:rsid w:val="00E3554D"/>
    <w:rsid w:val="00E35FE8"/>
    <w:rsid w:val="00E36769"/>
    <w:rsid w:val="00E37013"/>
    <w:rsid w:val="00E37046"/>
    <w:rsid w:val="00E40125"/>
    <w:rsid w:val="00E4014E"/>
    <w:rsid w:val="00E526E4"/>
    <w:rsid w:val="00E541F9"/>
    <w:rsid w:val="00E55B0C"/>
    <w:rsid w:val="00E5723A"/>
    <w:rsid w:val="00E5797E"/>
    <w:rsid w:val="00E579E1"/>
    <w:rsid w:val="00E61ECA"/>
    <w:rsid w:val="00E635CE"/>
    <w:rsid w:val="00E6654E"/>
    <w:rsid w:val="00E670C2"/>
    <w:rsid w:val="00E67755"/>
    <w:rsid w:val="00E67B7A"/>
    <w:rsid w:val="00E704AE"/>
    <w:rsid w:val="00E72C84"/>
    <w:rsid w:val="00E7370A"/>
    <w:rsid w:val="00E76A9D"/>
    <w:rsid w:val="00E809AD"/>
    <w:rsid w:val="00E80EC8"/>
    <w:rsid w:val="00E83FD6"/>
    <w:rsid w:val="00E842A3"/>
    <w:rsid w:val="00E86432"/>
    <w:rsid w:val="00E86CC7"/>
    <w:rsid w:val="00E92811"/>
    <w:rsid w:val="00E95ED3"/>
    <w:rsid w:val="00EA2253"/>
    <w:rsid w:val="00EA6749"/>
    <w:rsid w:val="00EB0006"/>
    <w:rsid w:val="00EB2AD0"/>
    <w:rsid w:val="00EB4182"/>
    <w:rsid w:val="00EB6CD8"/>
    <w:rsid w:val="00EB75C9"/>
    <w:rsid w:val="00EC0196"/>
    <w:rsid w:val="00EC2012"/>
    <w:rsid w:val="00EC48AB"/>
    <w:rsid w:val="00EC4F27"/>
    <w:rsid w:val="00ED0051"/>
    <w:rsid w:val="00ED331E"/>
    <w:rsid w:val="00ED33B8"/>
    <w:rsid w:val="00ED4E02"/>
    <w:rsid w:val="00EE08FF"/>
    <w:rsid w:val="00EE33E0"/>
    <w:rsid w:val="00EE3956"/>
    <w:rsid w:val="00EE4BA1"/>
    <w:rsid w:val="00EE4D30"/>
    <w:rsid w:val="00EE5E27"/>
    <w:rsid w:val="00EE7156"/>
    <w:rsid w:val="00EE793E"/>
    <w:rsid w:val="00EF0A3D"/>
    <w:rsid w:val="00EF20AC"/>
    <w:rsid w:val="00EF20D0"/>
    <w:rsid w:val="00EF2972"/>
    <w:rsid w:val="00EF30A3"/>
    <w:rsid w:val="00EF4C5B"/>
    <w:rsid w:val="00EF4C60"/>
    <w:rsid w:val="00EF5DD4"/>
    <w:rsid w:val="00F01387"/>
    <w:rsid w:val="00F02834"/>
    <w:rsid w:val="00F04DC2"/>
    <w:rsid w:val="00F16185"/>
    <w:rsid w:val="00F173C9"/>
    <w:rsid w:val="00F20BB3"/>
    <w:rsid w:val="00F21A7D"/>
    <w:rsid w:val="00F241E3"/>
    <w:rsid w:val="00F2486F"/>
    <w:rsid w:val="00F24F4E"/>
    <w:rsid w:val="00F26A82"/>
    <w:rsid w:val="00F26C10"/>
    <w:rsid w:val="00F32B7F"/>
    <w:rsid w:val="00F334C0"/>
    <w:rsid w:val="00F36669"/>
    <w:rsid w:val="00F37120"/>
    <w:rsid w:val="00F401AA"/>
    <w:rsid w:val="00F41558"/>
    <w:rsid w:val="00F416DF"/>
    <w:rsid w:val="00F4225F"/>
    <w:rsid w:val="00F438B9"/>
    <w:rsid w:val="00F44F1E"/>
    <w:rsid w:val="00F5007B"/>
    <w:rsid w:val="00F51CA1"/>
    <w:rsid w:val="00F527B0"/>
    <w:rsid w:val="00F52C8F"/>
    <w:rsid w:val="00F537C7"/>
    <w:rsid w:val="00F55941"/>
    <w:rsid w:val="00F5781A"/>
    <w:rsid w:val="00F62CDD"/>
    <w:rsid w:val="00F634B8"/>
    <w:rsid w:val="00F637BD"/>
    <w:rsid w:val="00F67A37"/>
    <w:rsid w:val="00F7115F"/>
    <w:rsid w:val="00F737B6"/>
    <w:rsid w:val="00F7501E"/>
    <w:rsid w:val="00F82C9C"/>
    <w:rsid w:val="00F83F80"/>
    <w:rsid w:val="00F844B6"/>
    <w:rsid w:val="00F862C5"/>
    <w:rsid w:val="00F86617"/>
    <w:rsid w:val="00F86FE3"/>
    <w:rsid w:val="00F92B58"/>
    <w:rsid w:val="00F945B4"/>
    <w:rsid w:val="00F967AA"/>
    <w:rsid w:val="00F979F8"/>
    <w:rsid w:val="00FA182E"/>
    <w:rsid w:val="00FA1916"/>
    <w:rsid w:val="00FA4672"/>
    <w:rsid w:val="00FB18F1"/>
    <w:rsid w:val="00FB34FD"/>
    <w:rsid w:val="00FC25CA"/>
    <w:rsid w:val="00FC3578"/>
    <w:rsid w:val="00FC7B5A"/>
    <w:rsid w:val="00FD2A73"/>
    <w:rsid w:val="00FD3FE2"/>
    <w:rsid w:val="00FD51B7"/>
    <w:rsid w:val="00FD51BF"/>
    <w:rsid w:val="00FD733B"/>
    <w:rsid w:val="00FE0D6B"/>
    <w:rsid w:val="00FE16CA"/>
    <w:rsid w:val="00FE1767"/>
    <w:rsid w:val="00FE1D7D"/>
    <w:rsid w:val="00FE23F1"/>
    <w:rsid w:val="00FE4FD8"/>
    <w:rsid w:val="00FE5DA4"/>
    <w:rsid w:val="00FE638A"/>
    <w:rsid w:val="00FE7064"/>
    <w:rsid w:val="00FF18B1"/>
    <w:rsid w:val="00FF746F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C91"/>
    <w:rPr>
      <w:rFonts w:ascii="Bookman Old Style" w:hAnsi="Bookman Old Style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F1C91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8F1C91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541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541F9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F1C9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541F9"/>
    <w:rPr>
      <w:rFonts w:ascii="Bookman Old Style" w:hAnsi="Bookman Old Style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8F1C91"/>
    <w:rPr>
      <w:b/>
      <w:bCs/>
    </w:rPr>
  </w:style>
  <w:style w:type="paragraph" w:styleId="Szvegtrzs2">
    <w:name w:val="Body Text 2"/>
    <w:basedOn w:val="Norml"/>
    <w:link w:val="Szvegtrzs2Char"/>
    <w:uiPriority w:val="99"/>
    <w:rsid w:val="008F1C91"/>
    <w:pPr>
      <w:jc w:val="center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541F9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F1C91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E541F9"/>
    <w:rPr>
      <w:rFonts w:ascii="Bookman Old Style" w:hAnsi="Bookman Old Style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8F1C9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13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541F9"/>
    <w:rPr>
      <w:rFonts w:cs="Times New Roman"/>
      <w:sz w:val="2"/>
    </w:rPr>
  </w:style>
  <w:style w:type="paragraph" w:styleId="NormlWeb">
    <w:name w:val="Normal (Web)"/>
    <w:basedOn w:val="Norml"/>
    <w:uiPriority w:val="99"/>
    <w:rsid w:val="00742E0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uiPriority w:val="99"/>
    <w:rsid w:val="00300F8A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523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5233E"/>
    <w:rPr>
      <w:rFonts w:ascii="Bookman Old Style" w:hAnsi="Bookman Old Style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E4E4A"/>
    <w:pPr>
      <w:ind w:left="720"/>
      <w:contextualSpacing/>
    </w:pPr>
  </w:style>
  <w:style w:type="paragraph" w:customStyle="1" w:styleId="Default">
    <w:name w:val="Default"/>
    <w:uiPriority w:val="99"/>
    <w:rsid w:val="006167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844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B14B2"/>
    <w:rPr>
      <w:rFonts w:ascii="Bookman Old Style" w:hAnsi="Bookman Old Style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844DB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570">
          <w:marLeft w:val="0"/>
          <w:marRight w:val="0"/>
          <w:marTop w:val="0"/>
          <w:marBottom w:val="0"/>
          <w:divBdr>
            <w:top w:val="single" w:sz="4" w:space="0" w:color="F8F8F8"/>
            <w:left w:val="single" w:sz="4" w:space="0" w:color="F8F8F8"/>
            <w:bottom w:val="single" w:sz="4" w:space="0" w:color="F8F8F8"/>
            <w:right w:val="single" w:sz="4" w:space="0" w:color="F8F8F8"/>
          </w:divBdr>
          <w:divsChild>
            <w:div w:id="213077555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2130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564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13554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2006</vt:lpstr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administrator</dc:creator>
  <cp:lastModifiedBy>SzZsuzsi</cp:lastModifiedBy>
  <cp:revision>2</cp:revision>
  <cp:lastPrinted>2015-01-28T12:31:00Z</cp:lastPrinted>
  <dcterms:created xsi:type="dcterms:W3CDTF">2015-02-17T10:12:00Z</dcterms:created>
  <dcterms:modified xsi:type="dcterms:W3CDTF">2015-02-17T10:12:00Z</dcterms:modified>
</cp:coreProperties>
</file>